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715B59">
      <w:pPr>
        <w:spacing w:before="0" w:after="0" w:line="228" w:lineRule="auto"/>
        <w:jc w:val="both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0F1700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C26DAC" w:rsidP="00AD4CE9">
      <w:pPr>
        <w:spacing w:before="0" w:after="0" w:line="228" w:lineRule="auto"/>
        <w:rPr>
          <w:rFonts w:ascii="Tahoma" w:hAnsi="Tahoma" w:cs="Tahoma"/>
          <w:noProof/>
        </w:rPr>
      </w:pPr>
      <w:r w:rsidRPr="00C26DAC">
        <w:rPr>
          <w:noProof/>
        </w:rPr>
        <w:drawing>
          <wp:inline distT="0" distB="0" distL="0" distR="0" wp14:anchorId="7D93606A" wp14:editId="19E6B779">
            <wp:extent cx="5613400" cy="4573050"/>
            <wp:effectExtent l="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C26DAC" w:rsidRDefault="00C26DAC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C26DAC" w:rsidRDefault="00C26DAC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2FA84131">
            <wp:extent cx="4584700" cy="2749550"/>
            <wp:effectExtent l="0" t="0" r="635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6DAC" w:rsidRDefault="00C26DAC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209C9" w:rsidRPr="00C26DAC" w:rsidRDefault="00AE7455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C26DAC">
        <w:rPr>
          <w:rFonts w:ascii="Tahoma" w:hAnsi="Tahoma" w:cs="Tahoma"/>
          <w:color w:val="auto"/>
        </w:rPr>
        <w:t>La A</w:t>
      </w:r>
      <w:r w:rsidR="00C26DAC" w:rsidRPr="00C26DAC">
        <w:rPr>
          <w:rFonts w:ascii="Tahoma" w:hAnsi="Tahoma" w:cs="Tahoma"/>
          <w:color w:val="auto"/>
        </w:rPr>
        <w:t>dministración Municipal de Rovira</w:t>
      </w:r>
      <w:r w:rsidRPr="00C26DAC">
        <w:rPr>
          <w:rFonts w:ascii="Tahoma" w:hAnsi="Tahoma" w:cs="Tahoma"/>
          <w:color w:val="auto"/>
        </w:rPr>
        <w:t xml:space="preserve">, refleja en el Balance General Comparativo que los Activos del </w:t>
      </w:r>
      <w:r w:rsidR="00C26DAC" w:rsidRPr="00C26DAC">
        <w:rPr>
          <w:rFonts w:ascii="Tahoma" w:hAnsi="Tahoma" w:cs="Tahoma"/>
          <w:color w:val="auto"/>
        </w:rPr>
        <w:t xml:space="preserve"> municipio crecieron en un 0.25</w:t>
      </w:r>
      <w:r w:rsidRPr="00C26DAC">
        <w:rPr>
          <w:rFonts w:ascii="Tahoma" w:hAnsi="Tahoma" w:cs="Tahoma"/>
          <w:color w:val="auto"/>
        </w:rPr>
        <w:t>%, los Pasivos de igual forma prese</w:t>
      </w:r>
      <w:r w:rsidR="00C26DAC" w:rsidRPr="00C26DAC">
        <w:rPr>
          <w:rFonts w:ascii="Tahoma" w:hAnsi="Tahoma" w:cs="Tahoma"/>
          <w:color w:val="auto"/>
        </w:rPr>
        <w:t>ntaron un crecimiento del 5.31</w:t>
      </w:r>
      <w:r w:rsidRPr="00C26DAC">
        <w:rPr>
          <w:rFonts w:ascii="Tahoma" w:hAnsi="Tahoma" w:cs="Tahoma"/>
          <w:color w:val="auto"/>
        </w:rPr>
        <w:t xml:space="preserve">%, lo cual generó en el periodo 2015 un minucioso </w:t>
      </w:r>
      <w:r w:rsidR="00C26DAC" w:rsidRPr="00C26DAC">
        <w:rPr>
          <w:rFonts w:ascii="Tahoma" w:hAnsi="Tahoma" w:cs="Tahoma"/>
          <w:color w:val="auto"/>
        </w:rPr>
        <w:t>de</w:t>
      </w:r>
      <w:r w:rsidRPr="00C26DAC">
        <w:rPr>
          <w:rFonts w:ascii="Tahoma" w:hAnsi="Tahoma" w:cs="Tahoma"/>
          <w:color w:val="auto"/>
        </w:rPr>
        <w:t xml:space="preserve">crecimiento del Patrimonio </w:t>
      </w:r>
      <w:r w:rsidR="00C26DAC" w:rsidRPr="00C26DAC">
        <w:rPr>
          <w:rFonts w:ascii="Tahoma" w:hAnsi="Tahoma" w:cs="Tahoma"/>
          <w:color w:val="auto"/>
        </w:rPr>
        <w:t xml:space="preserve">del  </w:t>
      </w:r>
      <w:r w:rsidR="00C26DAC">
        <w:rPr>
          <w:rFonts w:ascii="Tahoma" w:hAnsi="Tahoma" w:cs="Tahoma"/>
          <w:color w:val="auto"/>
        </w:rPr>
        <w:t>-2.70%</w:t>
      </w:r>
      <w:r w:rsidR="009209C9" w:rsidRPr="00C26DAC">
        <w:rPr>
          <w:rFonts w:ascii="Tahoma" w:hAnsi="Tahoma" w:cs="Tahoma"/>
          <w:color w:val="auto"/>
        </w:rPr>
        <w:t>, dejando ver de esta forma el poco crecimiento del índice de propiedad que viene gestando el Ente Municipal.</w:t>
      </w:r>
    </w:p>
    <w:p w:rsidR="009209C9" w:rsidRPr="00C26DAC" w:rsidRDefault="009209C9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092432" w:rsidRPr="00C26DAC" w:rsidRDefault="009209C9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C26DAC">
        <w:rPr>
          <w:rFonts w:ascii="Tahoma" w:hAnsi="Tahoma" w:cs="Tahoma"/>
          <w:color w:val="auto"/>
        </w:rPr>
        <w:t>El Total de Activos a Diciembre</w:t>
      </w:r>
      <w:r w:rsidR="00C26DAC" w:rsidRPr="00C26DAC">
        <w:rPr>
          <w:rFonts w:ascii="Tahoma" w:hAnsi="Tahoma" w:cs="Tahoma"/>
          <w:color w:val="auto"/>
        </w:rPr>
        <w:t xml:space="preserve"> 31 de 2015 ascendió a $30.958,5</w:t>
      </w:r>
      <w:r w:rsidRPr="00C26DAC">
        <w:rPr>
          <w:rFonts w:ascii="Tahoma" w:hAnsi="Tahoma" w:cs="Tahoma"/>
          <w:color w:val="auto"/>
        </w:rPr>
        <w:t xml:space="preserve"> millones con un aumento </w:t>
      </w:r>
      <w:r w:rsidR="00C26DAC" w:rsidRPr="00C26DAC">
        <w:rPr>
          <w:rFonts w:ascii="Tahoma" w:hAnsi="Tahoma" w:cs="Tahoma"/>
          <w:color w:val="auto"/>
        </w:rPr>
        <w:t>del 0.25% ($77,9 millones) respecto al valor registrado en el 2014 que ascendió a ($30.880,6 millones)</w:t>
      </w:r>
      <w:r w:rsidRPr="00C26DAC">
        <w:rPr>
          <w:rFonts w:ascii="Tahoma" w:hAnsi="Tahoma" w:cs="Tahoma"/>
          <w:color w:val="auto"/>
        </w:rPr>
        <w:t>.</w:t>
      </w:r>
    </w:p>
    <w:p w:rsidR="009209C9" w:rsidRPr="00C26DAC" w:rsidRDefault="009209C9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209C9" w:rsidRPr="00072DF8" w:rsidRDefault="009209C9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72DF8">
        <w:rPr>
          <w:rFonts w:ascii="Tahoma" w:hAnsi="Tahoma" w:cs="Tahoma"/>
          <w:color w:val="auto"/>
        </w:rPr>
        <w:t>Para la vigencia 2015, el Acti</w:t>
      </w:r>
      <w:r w:rsidR="00072DF8" w:rsidRPr="00072DF8">
        <w:rPr>
          <w:rFonts w:ascii="Tahoma" w:hAnsi="Tahoma" w:cs="Tahoma"/>
          <w:color w:val="auto"/>
        </w:rPr>
        <w:t>vo Corriente cuantificado en $4.113,3 millones  representa el 13.28</w:t>
      </w:r>
      <w:r w:rsidRPr="00072DF8">
        <w:rPr>
          <w:rFonts w:ascii="Tahoma" w:hAnsi="Tahoma" w:cs="Tahoma"/>
          <w:color w:val="auto"/>
        </w:rPr>
        <w:t>% del total de los activos</w:t>
      </w:r>
      <w:r w:rsidR="00072DF8" w:rsidRPr="00072DF8">
        <w:rPr>
          <w:rFonts w:ascii="Tahoma" w:hAnsi="Tahoma" w:cs="Tahoma"/>
          <w:color w:val="auto"/>
        </w:rPr>
        <w:t xml:space="preserve"> con una disminución  del 2014 al 2015 de $2.634,6  millones, pasando de $6.747,9  millones en el 2014 a $4.113,3 </w:t>
      </w:r>
      <w:r w:rsidRPr="00072DF8">
        <w:rPr>
          <w:rFonts w:ascii="Tahoma" w:hAnsi="Tahoma" w:cs="Tahoma"/>
          <w:color w:val="auto"/>
        </w:rPr>
        <w:t xml:space="preserve"> millones en el 2015.</w:t>
      </w:r>
    </w:p>
    <w:p w:rsidR="009209C9" w:rsidRPr="00072DF8" w:rsidRDefault="009209C9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325332" w:rsidRPr="00325332" w:rsidRDefault="009209C9" w:rsidP="00325332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25332">
        <w:rPr>
          <w:rFonts w:ascii="Tahoma" w:hAnsi="Tahoma" w:cs="Tahoma"/>
          <w:color w:val="auto"/>
        </w:rPr>
        <w:t xml:space="preserve">Dentro de este grupo resalta el </w:t>
      </w:r>
      <w:r w:rsidR="00072DF8" w:rsidRPr="00325332">
        <w:rPr>
          <w:rFonts w:ascii="Tahoma" w:hAnsi="Tahoma" w:cs="Tahoma"/>
          <w:color w:val="auto"/>
        </w:rPr>
        <w:t xml:space="preserve">decrecimiento </w:t>
      </w:r>
      <w:r w:rsidRPr="00325332">
        <w:rPr>
          <w:rFonts w:ascii="Tahoma" w:hAnsi="Tahoma" w:cs="Tahoma"/>
          <w:color w:val="auto"/>
        </w:rPr>
        <w:t>que presentó el saldo de la cuenta de efectivo entre las vigencias 2014 y 2015, arrojando un</w:t>
      </w:r>
      <w:r w:rsidR="00072DF8" w:rsidRPr="00325332">
        <w:rPr>
          <w:rFonts w:ascii="Tahoma" w:hAnsi="Tahoma" w:cs="Tahoma"/>
          <w:color w:val="auto"/>
        </w:rPr>
        <w:t>a disminución en el saldo de $2.669,5 millones (-52.82%) p</w:t>
      </w:r>
      <w:r w:rsidRPr="00325332">
        <w:rPr>
          <w:rFonts w:ascii="Tahoma" w:hAnsi="Tahoma" w:cs="Tahoma"/>
          <w:color w:val="auto"/>
        </w:rPr>
        <w:t>asando</w:t>
      </w:r>
      <w:r w:rsidR="00072DF8" w:rsidRPr="00325332">
        <w:rPr>
          <w:rFonts w:ascii="Tahoma" w:hAnsi="Tahoma" w:cs="Tahoma"/>
          <w:color w:val="auto"/>
        </w:rPr>
        <w:t xml:space="preserve"> de tener </w:t>
      </w:r>
      <w:r w:rsidRPr="00325332">
        <w:rPr>
          <w:rFonts w:ascii="Tahoma" w:hAnsi="Tahoma" w:cs="Tahoma"/>
          <w:color w:val="auto"/>
        </w:rPr>
        <w:t xml:space="preserve"> en el 2014</w:t>
      </w:r>
      <w:r w:rsidR="00072DF8" w:rsidRPr="00325332">
        <w:rPr>
          <w:rFonts w:ascii="Tahoma" w:hAnsi="Tahoma" w:cs="Tahoma"/>
          <w:color w:val="auto"/>
        </w:rPr>
        <w:t xml:space="preserve"> un saldo de ($5.054 millones) </w:t>
      </w:r>
      <w:r w:rsidR="00325332" w:rsidRPr="00325332">
        <w:rPr>
          <w:rFonts w:ascii="Tahoma" w:hAnsi="Tahoma" w:cs="Tahoma"/>
          <w:color w:val="auto"/>
        </w:rPr>
        <w:t>a registrar al cierre del periodo fiscal 2015 la suma de $2.384,4 millones.</w:t>
      </w:r>
      <w:r w:rsidR="00325332">
        <w:rPr>
          <w:rFonts w:ascii="Tahoma" w:hAnsi="Tahoma" w:cs="Tahoma"/>
          <w:color w:val="auto"/>
        </w:rPr>
        <w:t xml:space="preserve">  </w:t>
      </w:r>
      <w:r w:rsidR="00325332" w:rsidRPr="00325332">
        <w:rPr>
          <w:rFonts w:ascii="Tahoma" w:hAnsi="Tahoma" w:cs="Tahoma"/>
          <w:color w:val="auto"/>
        </w:rPr>
        <w:t>Dentro de este grupo se tiene que el 84% de los recursos se encuentran consignados en cuentas corrientes mientras que el 16% en cuentas de ahorro.</w:t>
      </w:r>
    </w:p>
    <w:p w:rsidR="009209C9" w:rsidRPr="00325332" w:rsidRDefault="009209C9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092432" w:rsidRPr="00C26DAC" w:rsidRDefault="00092432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1B4378" w:rsidRPr="00325332" w:rsidRDefault="001B4378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25332">
        <w:rPr>
          <w:rFonts w:ascii="Tahoma" w:hAnsi="Tahoma" w:cs="Tahoma"/>
          <w:color w:val="auto"/>
        </w:rPr>
        <w:t xml:space="preserve">  La Cuenta de “Inversiones</w:t>
      </w:r>
      <w:r w:rsidR="00325332" w:rsidRPr="00325332">
        <w:rPr>
          <w:rFonts w:ascii="Tahoma" w:hAnsi="Tahoma" w:cs="Tahoma"/>
          <w:color w:val="auto"/>
        </w:rPr>
        <w:t xml:space="preserve"> e Instrumentos derivados” </w:t>
      </w:r>
      <w:r w:rsidRPr="00325332">
        <w:rPr>
          <w:rFonts w:ascii="Tahoma" w:hAnsi="Tahoma" w:cs="Tahoma"/>
          <w:color w:val="auto"/>
        </w:rPr>
        <w:t xml:space="preserve"> presentó </w:t>
      </w:r>
      <w:r w:rsidR="00325332" w:rsidRPr="00325332">
        <w:rPr>
          <w:rFonts w:ascii="Tahoma" w:hAnsi="Tahoma" w:cs="Tahoma"/>
          <w:color w:val="auto"/>
        </w:rPr>
        <w:t>un crecimiento porcentual del 100% al pasar de un saldo de $0 en el 2014 a registrar al cierre del periodo fiscal la suma de 150.000</w:t>
      </w:r>
      <w:r w:rsidRPr="00325332">
        <w:rPr>
          <w:rFonts w:ascii="Tahoma" w:hAnsi="Tahoma" w:cs="Tahoma"/>
          <w:color w:val="auto"/>
        </w:rPr>
        <w:t>.</w:t>
      </w:r>
    </w:p>
    <w:p w:rsidR="001B4378" w:rsidRPr="00325332" w:rsidRDefault="001B4378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1B4378" w:rsidRPr="00A03D09" w:rsidRDefault="001B4378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03D09">
        <w:rPr>
          <w:rFonts w:ascii="Tahoma" w:hAnsi="Tahoma" w:cs="Tahoma"/>
          <w:color w:val="auto"/>
        </w:rPr>
        <w:t>En cuanto a las Re</w:t>
      </w:r>
      <w:r w:rsidR="00325332" w:rsidRPr="00A03D09">
        <w:rPr>
          <w:rFonts w:ascii="Tahoma" w:hAnsi="Tahoma" w:cs="Tahoma"/>
          <w:color w:val="auto"/>
        </w:rPr>
        <w:t xml:space="preserve">ntas por Cobrar se determina un crecimiento entre las vigencias 2014 y 2015  </w:t>
      </w:r>
      <w:r w:rsidR="00A03D09" w:rsidRPr="00A03D09">
        <w:rPr>
          <w:rFonts w:ascii="Tahoma" w:hAnsi="Tahoma" w:cs="Tahoma"/>
          <w:color w:val="auto"/>
        </w:rPr>
        <w:t xml:space="preserve">del </w:t>
      </w:r>
      <w:r w:rsidR="00325332" w:rsidRPr="00A03D09">
        <w:rPr>
          <w:rFonts w:ascii="Tahoma" w:hAnsi="Tahoma" w:cs="Tahoma"/>
          <w:color w:val="auto"/>
        </w:rPr>
        <w:t xml:space="preserve"> 14.30% ($141,7 millones)</w:t>
      </w:r>
      <w:r w:rsidRPr="00A03D09">
        <w:rPr>
          <w:rFonts w:ascii="Tahoma" w:hAnsi="Tahoma" w:cs="Tahoma"/>
          <w:color w:val="auto"/>
        </w:rPr>
        <w:t xml:space="preserve"> </w:t>
      </w:r>
      <w:r w:rsidR="00A03D09" w:rsidRPr="00A03D09">
        <w:rPr>
          <w:rFonts w:ascii="Tahoma" w:hAnsi="Tahoma" w:cs="Tahoma"/>
          <w:color w:val="auto"/>
        </w:rPr>
        <w:t xml:space="preserve"> pasando de $991.3 millones en el 2014 a $1.133,1</w:t>
      </w:r>
      <w:r w:rsidRPr="00A03D09">
        <w:rPr>
          <w:rFonts w:ascii="Tahoma" w:hAnsi="Tahoma" w:cs="Tahoma"/>
          <w:color w:val="auto"/>
        </w:rPr>
        <w:t xml:space="preserve"> millones e</w:t>
      </w:r>
      <w:r w:rsidR="00A03D09" w:rsidRPr="00A03D09">
        <w:rPr>
          <w:rFonts w:ascii="Tahoma" w:hAnsi="Tahoma" w:cs="Tahoma"/>
          <w:color w:val="auto"/>
        </w:rPr>
        <w:t>n el 2015; se observa que el 31,4</w:t>
      </w:r>
      <w:r w:rsidRPr="00A03D09">
        <w:rPr>
          <w:rFonts w:ascii="Tahoma" w:hAnsi="Tahoma" w:cs="Tahoma"/>
          <w:color w:val="auto"/>
        </w:rPr>
        <w:t xml:space="preserve">% </w:t>
      </w:r>
      <w:r w:rsidR="00F161D1" w:rsidRPr="00A03D09">
        <w:rPr>
          <w:rFonts w:ascii="Tahoma" w:hAnsi="Tahoma" w:cs="Tahoma"/>
          <w:color w:val="auto"/>
        </w:rPr>
        <w:t>del val</w:t>
      </w:r>
      <w:r w:rsidR="00A03D09" w:rsidRPr="00A03D09">
        <w:rPr>
          <w:rFonts w:ascii="Tahoma" w:hAnsi="Tahoma" w:cs="Tahoma"/>
          <w:color w:val="auto"/>
        </w:rPr>
        <w:t>or registrado ($356,1 millones</w:t>
      </w:r>
      <w:r w:rsidR="00F161D1" w:rsidRPr="00A03D09">
        <w:rPr>
          <w:rFonts w:ascii="Tahoma" w:hAnsi="Tahoma" w:cs="Tahoma"/>
          <w:color w:val="auto"/>
        </w:rPr>
        <w:t>) co</w:t>
      </w:r>
      <w:r w:rsidR="00A03D09" w:rsidRPr="00A03D09">
        <w:rPr>
          <w:rFonts w:ascii="Tahoma" w:hAnsi="Tahoma" w:cs="Tahoma"/>
          <w:color w:val="auto"/>
        </w:rPr>
        <w:t>rresponde a vigencia actual, saldo que presento una disminución del 35.84% entre las dos vigencias,  mientras que el 68.6% ($776,9 millones) de vigencias anteriores presentaron un incremento del 2014 al 2015 del 78.11%.</w:t>
      </w:r>
    </w:p>
    <w:p w:rsidR="00F161D1" w:rsidRPr="00C26DAC" w:rsidRDefault="00F161D1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06002" w:rsidRPr="00A03D09" w:rsidRDefault="00F161D1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03D09">
        <w:rPr>
          <w:rFonts w:ascii="Tahoma" w:hAnsi="Tahoma" w:cs="Tahoma"/>
          <w:color w:val="auto"/>
        </w:rPr>
        <w:t>La</w:t>
      </w:r>
      <w:r w:rsidR="00171674" w:rsidRPr="00A03D09">
        <w:rPr>
          <w:rFonts w:ascii="Tahoma" w:hAnsi="Tahoma" w:cs="Tahoma"/>
          <w:color w:val="auto"/>
        </w:rPr>
        <w:t xml:space="preserve"> participación de la </w:t>
      </w:r>
      <w:r w:rsidRPr="00A03D09">
        <w:rPr>
          <w:rFonts w:ascii="Tahoma" w:hAnsi="Tahoma" w:cs="Tahoma"/>
          <w:color w:val="auto"/>
        </w:rPr>
        <w:t xml:space="preserve"> cuenta “Deudores” </w:t>
      </w:r>
      <w:r w:rsidR="00171674" w:rsidRPr="00A03D09">
        <w:rPr>
          <w:rFonts w:ascii="Tahoma" w:hAnsi="Tahoma" w:cs="Tahoma"/>
          <w:color w:val="auto"/>
        </w:rPr>
        <w:t>e</w:t>
      </w:r>
      <w:r w:rsidRPr="00A03D09">
        <w:rPr>
          <w:rFonts w:ascii="Tahoma" w:hAnsi="Tahoma" w:cs="Tahoma"/>
          <w:color w:val="auto"/>
        </w:rPr>
        <w:t xml:space="preserve">n </w:t>
      </w:r>
      <w:r w:rsidR="00A03D09" w:rsidRPr="00A03D09">
        <w:rPr>
          <w:rFonts w:ascii="Tahoma" w:hAnsi="Tahoma" w:cs="Tahoma"/>
          <w:color w:val="auto"/>
        </w:rPr>
        <w:t>el total del activo es del 1.92</w:t>
      </w:r>
      <w:r w:rsidRPr="00A03D09">
        <w:rPr>
          <w:rFonts w:ascii="Tahoma" w:hAnsi="Tahoma" w:cs="Tahoma"/>
          <w:color w:val="auto"/>
        </w:rPr>
        <w:t>%</w:t>
      </w:r>
      <w:r w:rsidR="00A03D09" w:rsidRPr="00A03D09">
        <w:rPr>
          <w:rFonts w:ascii="Tahoma" w:hAnsi="Tahoma" w:cs="Tahoma"/>
          <w:color w:val="auto"/>
        </w:rPr>
        <w:t xml:space="preserve">, disminuyendo </w:t>
      </w:r>
      <w:r w:rsidR="00906002" w:rsidRPr="00A03D09">
        <w:rPr>
          <w:rFonts w:ascii="Tahoma" w:hAnsi="Tahoma" w:cs="Tahoma"/>
          <w:color w:val="auto"/>
        </w:rPr>
        <w:t xml:space="preserve"> entre las vigencias</w:t>
      </w:r>
      <w:r w:rsidR="00A03D09" w:rsidRPr="00A03D09">
        <w:rPr>
          <w:rFonts w:ascii="Tahoma" w:hAnsi="Tahoma" w:cs="Tahoma"/>
          <w:color w:val="auto"/>
        </w:rPr>
        <w:t xml:space="preserve"> 2014 y 2015 la suma de $106,8 </w:t>
      </w:r>
      <w:r w:rsidR="00906002" w:rsidRPr="00A03D09">
        <w:rPr>
          <w:rFonts w:ascii="Tahoma" w:hAnsi="Tahoma" w:cs="Tahoma"/>
          <w:color w:val="auto"/>
        </w:rPr>
        <w:t xml:space="preserve"> millones, cifra que representa un </w:t>
      </w:r>
      <w:r w:rsidR="00A03D09" w:rsidRPr="00A03D09">
        <w:rPr>
          <w:rFonts w:ascii="Tahoma" w:hAnsi="Tahoma" w:cs="Tahoma"/>
          <w:color w:val="auto"/>
        </w:rPr>
        <w:t>decrecimiento porcentual del 15.20</w:t>
      </w:r>
      <w:r w:rsidR="00906002" w:rsidRPr="00A03D09">
        <w:rPr>
          <w:rFonts w:ascii="Tahoma" w:hAnsi="Tahoma" w:cs="Tahoma"/>
          <w:color w:val="auto"/>
        </w:rPr>
        <w:t xml:space="preserve">% alcanzando en la vigencia 2014 un saldo de </w:t>
      </w:r>
      <w:r w:rsidR="00A03D09" w:rsidRPr="00A03D09">
        <w:rPr>
          <w:rFonts w:ascii="Tahoma" w:hAnsi="Tahoma" w:cs="Tahoma"/>
          <w:color w:val="auto"/>
        </w:rPr>
        <w:t>$702,5</w:t>
      </w:r>
      <w:r w:rsidR="00906002" w:rsidRPr="00A03D09">
        <w:rPr>
          <w:rFonts w:ascii="Tahoma" w:hAnsi="Tahoma" w:cs="Tahoma"/>
          <w:color w:val="auto"/>
        </w:rPr>
        <w:t xml:space="preserve"> millones y finalizando el</w:t>
      </w:r>
      <w:r w:rsidR="00A03D09" w:rsidRPr="00A03D09">
        <w:rPr>
          <w:rFonts w:ascii="Tahoma" w:hAnsi="Tahoma" w:cs="Tahoma"/>
          <w:color w:val="auto"/>
        </w:rPr>
        <w:t xml:space="preserve"> periodo fiscal 2015 en $595,7</w:t>
      </w:r>
      <w:r w:rsidR="00906002" w:rsidRPr="00A03D09">
        <w:rPr>
          <w:rFonts w:ascii="Tahoma" w:hAnsi="Tahoma" w:cs="Tahoma"/>
          <w:color w:val="auto"/>
        </w:rPr>
        <w:t xml:space="preserve"> millones resultado que obedece al apalancamiento que tuvo los recursos </w:t>
      </w:r>
      <w:r w:rsidR="00A03D09" w:rsidRPr="00A03D09">
        <w:rPr>
          <w:rFonts w:ascii="Tahoma" w:hAnsi="Tahoma" w:cs="Tahoma"/>
          <w:color w:val="auto"/>
        </w:rPr>
        <w:t>de transferencias por cobrar.</w:t>
      </w:r>
    </w:p>
    <w:p w:rsidR="00A03D09" w:rsidRPr="00C26DAC" w:rsidRDefault="00A03D09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06002" w:rsidRPr="00DF4B34" w:rsidRDefault="00906002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DF4B34">
        <w:rPr>
          <w:rFonts w:ascii="Tahoma" w:hAnsi="Tahoma" w:cs="Tahoma"/>
          <w:color w:val="auto"/>
        </w:rPr>
        <w:t xml:space="preserve">La Propiedad, Planta y Equipo </w:t>
      </w:r>
      <w:r w:rsidR="00DF4B34" w:rsidRPr="00DF4B34">
        <w:rPr>
          <w:rFonts w:ascii="Tahoma" w:hAnsi="Tahoma" w:cs="Tahoma"/>
          <w:color w:val="auto"/>
        </w:rPr>
        <w:t>por su parte incremento  su saldo en $1.180,2 millones (10.40</w:t>
      </w:r>
      <w:r w:rsidRPr="00DF4B34">
        <w:rPr>
          <w:rFonts w:ascii="Tahoma" w:hAnsi="Tahoma" w:cs="Tahoma"/>
          <w:color w:val="auto"/>
        </w:rPr>
        <w:t>%) el saldo</w:t>
      </w:r>
      <w:r w:rsidR="00DF4B34" w:rsidRPr="00DF4B34">
        <w:rPr>
          <w:rFonts w:ascii="Tahoma" w:hAnsi="Tahoma" w:cs="Tahoma"/>
          <w:color w:val="auto"/>
        </w:rPr>
        <w:t xml:space="preserve"> registrado en el 2014 ($11.352</w:t>
      </w:r>
      <w:r w:rsidRPr="00DF4B34">
        <w:rPr>
          <w:rFonts w:ascii="Tahoma" w:hAnsi="Tahoma" w:cs="Tahoma"/>
          <w:color w:val="auto"/>
        </w:rPr>
        <w:t xml:space="preserve"> millones) finalizando con ello el cierre del </w:t>
      </w:r>
      <w:r w:rsidR="00DF4B34" w:rsidRPr="00DF4B34">
        <w:rPr>
          <w:rFonts w:ascii="Tahoma" w:hAnsi="Tahoma" w:cs="Tahoma"/>
          <w:color w:val="auto"/>
        </w:rPr>
        <w:t>periodo fiscal 2015 en ($</w:t>
      </w:r>
      <w:r w:rsidR="00DF4B34">
        <w:rPr>
          <w:rFonts w:ascii="Tahoma" w:hAnsi="Tahoma" w:cs="Tahoma"/>
          <w:color w:val="auto"/>
        </w:rPr>
        <w:t>12.33</w:t>
      </w:r>
      <w:r w:rsidR="00DF4B34" w:rsidRPr="00DF4B34">
        <w:rPr>
          <w:rFonts w:ascii="Tahoma" w:hAnsi="Tahoma" w:cs="Tahoma"/>
          <w:color w:val="auto"/>
        </w:rPr>
        <w:t xml:space="preserve">2 </w:t>
      </w:r>
      <w:r w:rsidRPr="00DF4B34">
        <w:rPr>
          <w:rFonts w:ascii="Tahoma" w:hAnsi="Tahoma" w:cs="Tahoma"/>
          <w:color w:val="auto"/>
        </w:rPr>
        <w:t>millones).</w:t>
      </w:r>
    </w:p>
    <w:p w:rsidR="00906002" w:rsidRPr="00C26DAC" w:rsidRDefault="00906002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3E5E8B" w:rsidRPr="003E5E8B" w:rsidRDefault="00906002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E5E8B">
        <w:rPr>
          <w:rFonts w:ascii="Tahoma" w:hAnsi="Tahoma" w:cs="Tahoma"/>
          <w:color w:val="auto"/>
        </w:rPr>
        <w:t xml:space="preserve">Los Bienes de uso público, aunque el porcentaje de participación </w:t>
      </w:r>
      <w:r w:rsidR="00DF4B34" w:rsidRPr="003E5E8B">
        <w:rPr>
          <w:rFonts w:ascii="Tahoma" w:hAnsi="Tahoma" w:cs="Tahoma"/>
          <w:color w:val="auto"/>
        </w:rPr>
        <w:t xml:space="preserve">es poco representativo sobre el total del activo, </w:t>
      </w:r>
      <w:r w:rsidRPr="003E5E8B">
        <w:rPr>
          <w:rFonts w:ascii="Tahoma" w:hAnsi="Tahoma" w:cs="Tahoma"/>
          <w:color w:val="auto"/>
        </w:rPr>
        <w:t xml:space="preserve">es una cuenta que </w:t>
      </w:r>
      <w:r w:rsidR="00DF4B34" w:rsidRPr="003E5E8B">
        <w:rPr>
          <w:rFonts w:ascii="Tahoma" w:hAnsi="Tahoma" w:cs="Tahoma"/>
          <w:color w:val="auto"/>
        </w:rPr>
        <w:t xml:space="preserve">disminuyo el saldo entre las dos vigencias en cuantía de ($30.3 millones) reflejando de esta forma un decrecimiento del 4.47% </w:t>
      </w:r>
      <w:r w:rsidR="003E5E8B" w:rsidRPr="003E5E8B">
        <w:rPr>
          <w:rFonts w:ascii="Tahoma" w:hAnsi="Tahoma" w:cs="Tahoma"/>
          <w:color w:val="auto"/>
        </w:rPr>
        <w:t>pasando de registrar en el  2014 ($679,3</w:t>
      </w:r>
      <w:r w:rsidRPr="003E5E8B">
        <w:rPr>
          <w:rFonts w:ascii="Tahoma" w:hAnsi="Tahoma" w:cs="Tahoma"/>
          <w:color w:val="auto"/>
        </w:rPr>
        <w:t xml:space="preserve"> millones) </w:t>
      </w:r>
      <w:r w:rsidR="003E5E8B" w:rsidRPr="003E5E8B">
        <w:rPr>
          <w:rFonts w:ascii="Tahoma" w:hAnsi="Tahoma" w:cs="Tahoma"/>
          <w:color w:val="auto"/>
        </w:rPr>
        <w:t>al 2015 ($648,9 millones).</w:t>
      </w:r>
    </w:p>
    <w:p w:rsidR="00906002" w:rsidRPr="00C26DAC" w:rsidRDefault="003E5E8B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  <w:r w:rsidRPr="00C26DAC">
        <w:rPr>
          <w:rFonts w:ascii="Tahoma" w:hAnsi="Tahoma" w:cs="Tahoma"/>
          <w:color w:val="FF0000"/>
        </w:rPr>
        <w:t xml:space="preserve"> </w:t>
      </w:r>
    </w:p>
    <w:p w:rsidR="00B766AB" w:rsidRPr="003E5E8B" w:rsidRDefault="00906002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E5E8B">
        <w:rPr>
          <w:rFonts w:ascii="Tahoma" w:hAnsi="Tahoma" w:cs="Tahoma"/>
          <w:color w:val="auto"/>
        </w:rPr>
        <w:t xml:space="preserve">En cuanto la cuenta “Otros Activos” </w:t>
      </w:r>
      <w:r w:rsidR="003E5E8B" w:rsidRPr="003E5E8B">
        <w:rPr>
          <w:rFonts w:ascii="Tahoma" w:hAnsi="Tahoma" w:cs="Tahoma"/>
          <w:color w:val="auto"/>
        </w:rPr>
        <w:t>al finalizar la vigencia 2015 registró como saldo la suma  de ($13.512,9 millones)  cuantía que presento un crecimiento porcentual del 11.67% representados en ($1.412,6 millones</w:t>
      </w:r>
      <w:r w:rsidR="00B766AB" w:rsidRPr="003E5E8B">
        <w:rPr>
          <w:rFonts w:ascii="Tahoma" w:hAnsi="Tahoma" w:cs="Tahoma"/>
          <w:color w:val="auto"/>
        </w:rPr>
        <w:t>.</w:t>
      </w:r>
    </w:p>
    <w:p w:rsidR="00B766AB" w:rsidRPr="00C26DAC" w:rsidRDefault="00B766AB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06002" w:rsidRPr="00741A06" w:rsidRDefault="00B766AB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741A06">
        <w:rPr>
          <w:rFonts w:ascii="Tahoma" w:hAnsi="Tahoma" w:cs="Tahoma"/>
          <w:color w:val="auto"/>
        </w:rPr>
        <w:t>Del pasivo se puede evidenciar que el inc</w:t>
      </w:r>
      <w:r w:rsidR="003E5E8B" w:rsidRPr="00741A06">
        <w:rPr>
          <w:rFonts w:ascii="Tahoma" w:hAnsi="Tahoma" w:cs="Tahoma"/>
          <w:color w:val="auto"/>
        </w:rPr>
        <w:t>remento alcanzado fue del 5.31% ($604,9</w:t>
      </w:r>
      <w:r w:rsidRPr="00741A06">
        <w:rPr>
          <w:rFonts w:ascii="Tahoma" w:hAnsi="Tahoma" w:cs="Tahoma"/>
          <w:color w:val="auto"/>
        </w:rPr>
        <w:t>millones) más de lo percibido en el 2014</w:t>
      </w:r>
      <w:r w:rsidR="003E5E8B" w:rsidRPr="00741A06">
        <w:rPr>
          <w:rFonts w:ascii="Tahoma" w:hAnsi="Tahoma" w:cs="Tahoma"/>
          <w:color w:val="auto"/>
        </w:rPr>
        <w:t>, en cuya vigencia registro un saldo de ($11.392,5 millones)</w:t>
      </w:r>
      <w:r w:rsidRPr="00741A06">
        <w:rPr>
          <w:rFonts w:ascii="Tahoma" w:hAnsi="Tahoma" w:cs="Tahoma"/>
          <w:color w:val="auto"/>
        </w:rPr>
        <w:t>, no obstante al cierre del periodo fiscal 2015</w:t>
      </w:r>
      <w:r w:rsidR="003E5E8B" w:rsidRPr="00741A06">
        <w:rPr>
          <w:rFonts w:ascii="Tahoma" w:hAnsi="Tahoma" w:cs="Tahoma"/>
          <w:color w:val="auto"/>
        </w:rPr>
        <w:t>, la cuenta finalizó en $11.997,4 millones</w:t>
      </w:r>
      <w:r w:rsidRPr="00741A06">
        <w:rPr>
          <w:rFonts w:ascii="Tahoma" w:hAnsi="Tahoma" w:cs="Tahoma"/>
          <w:color w:val="auto"/>
        </w:rPr>
        <w:t xml:space="preserve">. </w:t>
      </w:r>
    </w:p>
    <w:p w:rsidR="00B766AB" w:rsidRPr="00C26DAC" w:rsidRDefault="00B766AB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092432" w:rsidRDefault="00B766AB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741A06">
        <w:rPr>
          <w:rFonts w:ascii="Tahoma" w:hAnsi="Tahoma" w:cs="Tahoma"/>
          <w:color w:val="auto"/>
        </w:rPr>
        <w:t xml:space="preserve">El Pasivo Corriente representa el </w:t>
      </w:r>
      <w:r w:rsidR="00741A06" w:rsidRPr="00741A06">
        <w:rPr>
          <w:rFonts w:ascii="Tahoma" w:hAnsi="Tahoma" w:cs="Tahoma"/>
          <w:color w:val="auto"/>
        </w:rPr>
        <w:t>15.28%</w:t>
      </w:r>
      <w:r w:rsidRPr="00741A06">
        <w:rPr>
          <w:rFonts w:ascii="Tahoma" w:hAnsi="Tahoma" w:cs="Tahoma"/>
          <w:color w:val="auto"/>
        </w:rPr>
        <w:t xml:space="preserve"> del to</w:t>
      </w:r>
      <w:r w:rsidR="00741A06" w:rsidRPr="00741A06">
        <w:rPr>
          <w:rFonts w:ascii="Tahoma" w:hAnsi="Tahoma" w:cs="Tahoma"/>
          <w:color w:val="auto"/>
        </w:rPr>
        <w:t>tal del pasivo, que presento un incremento porcentual del 20.57% ($312,8 millones), finalizando la vigencia 2015 en ($1.833.8 millones) comparado con el saldo alcanzado en el 2014 que fue de ($1.520,9 millones).</w:t>
      </w:r>
    </w:p>
    <w:p w:rsidR="00741A06" w:rsidRDefault="00741A0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741A06" w:rsidRPr="00741A06" w:rsidRDefault="00741A0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Dentro de este grupo es importante resaltar el comportamiento del saldo de las Cuentas por Pagar, quienes obtuvieron entre las vigencias 2014 y 2015 un incremento porcentual </w:t>
      </w:r>
      <w:r>
        <w:rPr>
          <w:rFonts w:ascii="Tahoma" w:hAnsi="Tahoma" w:cs="Tahoma"/>
          <w:color w:val="auto"/>
        </w:rPr>
        <w:lastRenderedPageBreak/>
        <w:t>del 19.47% ($282,2 millones)</w:t>
      </w:r>
      <w:r w:rsidR="00066FA5">
        <w:rPr>
          <w:rFonts w:ascii="Tahoma" w:hAnsi="Tahoma" w:cs="Tahoma"/>
          <w:color w:val="auto"/>
        </w:rPr>
        <w:t>, alcanzando en la vigencia 2014 un saldo de ($1.450 millones) y al cierre de la anualidad 2015 un saldo de ($1.732,3 millones).</w:t>
      </w:r>
    </w:p>
    <w:p w:rsidR="00741A06" w:rsidRPr="00741A06" w:rsidRDefault="00741A06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092432" w:rsidRPr="00066FA5" w:rsidRDefault="00110EA7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66FA5">
        <w:rPr>
          <w:rFonts w:ascii="Tahoma" w:hAnsi="Tahoma" w:cs="Tahoma"/>
          <w:color w:val="auto"/>
        </w:rPr>
        <w:t xml:space="preserve">El Pasivo </w:t>
      </w:r>
      <w:r w:rsidR="00066FA5" w:rsidRPr="00066FA5">
        <w:rPr>
          <w:rFonts w:ascii="Tahoma" w:hAnsi="Tahoma" w:cs="Tahoma"/>
          <w:color w:val="auto"/>
        </w:rPr>
        <w:t>No Corriente representa el 72.62</w:t>
      </w:r>
      <w:r w:rsidRPr="00066FA5">
        <w:rPr>
          <w:rFonts w:ascii="Tahoma" w:hAnsi="Tahoma" w:cs="Tahoma"/>
          <w:color w:val="auto"/>
        </w:rPr>
        <w:t>% del total del pasi</w:t>
      </w:r>
      <w:r w:rsidR="00066FA5" w:rsidRPr="00066FA5">
        <w:rPr>
          <w:rFonts w:ascii="Tahoma" w:hAnsi="Tahoma" w:cs="Tahoma"/>
          <w:color w:val="auto"/>
        </w:rPr>
        <w:t>vo, con una disminución del 7.72% ($729.3 millones) al pasar de $9.443  millones en el 2014 a $8.713,6</w:t>
      </w:r>
      <w:r w:rsidRPr="00066FA5">
        <w:rPr>
          <w:rFonts w:ascii="Tahoma" w:hAnsi="Tahoma" w:cs="Tahoma"/>
          <w:color w:val="auto"/>
        </w:rPr>
        <w:t xml:space="preserve"> millones en el 2015 representado principalmente por lo</w:t>
      </w:r>
      <w:r w:rsidR="00066FA5" w:rsidRPr="00066FA5">
        <w:rPr>
          <w:rFonts w:ascii="Tahoma" w:hAnsi="Tahoma" w:cs="Tahoma"/>
          <w:color w:val="auto"/>
        </w:rPr>
        <w:t>s Pasivos Estimados con $8.709,8</w:t>
      </w:r>
      <w:r w:rsidRPr="00066FA5">
        <w:rPr>
          <w:rFonts w:ascii="Tahoma" w:hAnsi="Tahoma" w:cs="Tahoma"/>
          <w:color w:val="auto"/>
        </w:rPr>
        <w:t xml:space="preserve"> millones y O</w:t>
      </w:r>
      <w:r w:rsidR="00066FA5" w:rsidRPr="00066FA5">
        <w:rPr>
          <w:rFonts w:ascii="Tahoma" w:hAnsi="Tahoma" w:cs="Tahoma"/>
          <w:color w:val="auto"/>
        </w:rPr>
        <w:t xml:space="preserve">tros Pasivos de $3.7 millones, </w:t>
      </w:r>
      <w:r w:rsidRPr="00066FA5">
        <w:rPr>
          <w:rFonts w:ascii="Tahoma" w:hAnsi="Tahoma" w:cs="Tahoma"/>
          <w:color w:val="auto"/>
        </w:rPr>
        <w:t xml:space="preserve"> cuenta última que</w:t>
      </w:r>
      <w:r w:rsidR="00066FA5" w:rsidRPr="00066FA5">
        <w:rPr>
          <w:rFonts w:ascii="Tahoma" w:hAnsi="Tahoma" w:cs="Tahoma"/>
          <w:color w:val="auto"/>
        </w:rPr>
        <w:t xml:space="preserve"> incremento su saldo en $2,03 millones</w:t>
      </w:r>
      <w:r w:rsidRPr="00066FA5">
        <w:rPr>
          <w:rFonts w:ascii="Tahoma" w:hAnsi="Tahoma" w:cs="Tahoma"/>
          <w:color w:val="auto"/>
        </w:rPr>
        <w:t>.</w:t>
      </w:r>
    </w:p>
    <w:p w:rsidR="00110EA7" w:rsidRPr="00C26DAC" w:rsidRDefault="00110EA7" w:rsidP="00096CAD">
      <w:pPr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E01E8" w:rsidRPr="000A5A8D" w:rsidRDefault="00066FA5" w:rsidP="00096CA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A5A8D">
        <w:rPr>
          <w:rFonts w:ascii="Tahoma" w:hAnsi="Tahoma" w:cs="Tahoma"/>
          <w:color w:val="auto"/>
        </w:rPr>
        <w:t>El Patrimonio del ente territorial disminuyo el saldo del 2014 en $526,9 millones al pasar  de $</w:t>
      </w:r>
      <w:r w:rsidR="000A5A8D" w:rsidRPr="000A5A8D">
        <w:rPr>
          <w:rFonts w:ascii="Tahoma" w:hAnsi="Tahoma" w:cs="Tahoma"/>
          <w:color w:val="auto"/>
        </w:rPr>
        <w:t>19.488</w:t>
      </w:r>
      <w:r w:rsidR="00110EA7" w:rsidRPr="000A5A8D">
        <w:rPr>
          <w:rFonts w:ascii="Tahoma" w:hAnsi="Tahoma" w:cs="Tahoma"/>
          <w:color w:val="auto"/>
        </w:rPr>
        <w:t xml:space="preserve"> millones en e</w:t>
      </w:r>
      <w:r w:rsidR="000A5A8D" w:rsidRPr="000A5A8D">
        <w:rPr>
          <w:rFonts w:ascii="Tahoma" w:hAnsi="Tahoma" w:cs="Tahoma"/>
          <w:color w:val="auto"/>
        </w:rPr>
        <w:t>l 2014 a $18.961</w:t>
      </w:r>
      <w:r w:rsidR="00110EA7" w:rsidRPr="000A5A8D">
        <w:rPr>
          <w:rFonts w:ascii="Tahoma" w:hAnsi="Tahoma" w:cs="Tahoma"/>
          <w:color w:val="auto"/>
        </w:rPr>
        <w:t xml:space="preserve"> millones en el 2015, resultado que fue influido entre otros por </w:t>
      </w:r>
      <w:r w:rsidR="000A5A8D" w:rsidRPr="000A5A8D">
        <w:rPr>
          <w:rFonts w:ascii="Tahoma" w:hAnsi="Tahoma" w:cs="Tahoma"/>
          <w:color w:val="auto"/>
        </w:rPr>
        <w:t>la disminución del Resultado del Ejercicio quien finalizó la vigencia 2015 con saldo negativo del 269 millones.</w:t>
      </w:r>
    </w:p>
    <w:p w:rsidR="00B24CA8" w:rsidRPr="000A5A8D" w:rsidRDefault="00847EEE" w:rsidP="00847EEE">
      <w:pPr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A5A8D">
        <w:rPr>
          <w:rFonts w:ascii="Tahoma" w:hAnsi="Tahoma" w:cs="Tahoma"/>
          <w:color w:val="auto"/>
        </w:rPr>
        <w:t xml:space="preserve"> </w:t>
      </w:r>
    </w:p>
    <w:p w:rsidR="00B24CA8" w:rsidRPr="002443C3" w:rsidRDefault="00B24CA8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2443C3">
        <w:rPr>
          <w:rFonts w:ascii="Tahoma" w:hAnsi="Tahoma" w:cs="Tahoma"/>
          <w:b/>
        </w:rPr>
        <w:t>ESTADO DE ACTIVIDAD FINANCIERA, ECONÓMICA, SOCIAL Y AMBIENTAL COMPARATIVO</w:t>
      </w:r>
    </w:p>
    <w:p w:rsidR="00B24CA8" w:rsidRDefault="00B24CA8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110EA7" w:rsidRDefault="000A5A8D" w:rsidP="00B24CA8">
      <w:pPr>
        <w:pStyle w:val="Prrafodelista"/>
        <w:spacing w:before="0" w:after="0" w:line="228" w:lineRule="auto"/>
        <w:rPr>
          <w:noProof/>
        </w:rPr>
      </w:pPr>
      <w:r>
        <w:rPr>
          <w:noProof/>
        </w:rPr>
        <w:drawing>
          <wp:inline distT="0" distB="0" distL="0" distR="0" wp14:anchorId="56A1B0E2" wp14:editId="1D7BC2A2">
            <wp:extent cx="4572000" cy="3057525"/>
            <wp:effectExtent l="0" t="0" r="1905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A5A8D" w:rsidRDefault="000A5A8D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A5A8D" w:rsidRDefault="000A5A8D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A5A8D" w:rsidRDefault="000A5A8D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A5A8D" w:rsidRDefault="000A5A8D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0A5A8D">
        <w:rPr>
          <w:noProof/>
        </w:rPr>
        <w:drawing>
          <wp:inline distT="0" distB="0" distL="0" distR="0" wp14:anchorId="4D078EAA" wp14:editId="35F90000">
            <wp:extent cx="5613400" cy="6200422"/>
            <wp:effectExtent l="0" t="0" r="635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200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A8D" w:rsidRDefault="000A5A8D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A5A8D" w:rsidRPr="000A5A8D" w:rsidRDefault="000A5A8D" w:rsidP="000A5A8D">
      <w:pPr>
        <w:spacing w:before="0" w:after="0" w:line="228" w:lineRule="auto"/>
        <w:jc w:val="both"/>
        <w:rPr>
          <w:rFonts w:ascii="Tahoma" w:hAnsi="Tahoma" w:cs="Tahoma"/>
        </w:rPr>
      </w:pPr>
    </w:p>
    <w:p w:rsidR="000A5A8D" w:rsidRDefault="000A5A8D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971C2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A5A8D">
        <w:rPr>
          <w:rFonts w:ascii="Tahoma" w:hAnsi="Tahoma" w:cs="Tahoma"/>
          <w:color w:val="auto"/>
        </w:rPr>
        <w:t>Los  resultados del Ejercicio financiero durante la vigencia fiscal 2015, presentó un incr</w:t>
      </w:r>
      <w:r w:rsidR="000A5A8D" w:rsidRPr="000A5A8D">
        <w:rPr>
          <w:rFonts w:ascii="Tahoma" w:hAnsi="Tahoma" w:cs="Tahoma"/>
          <w:color w:val="auto"/>
        </w:rPr>
        <w:t>emento en sus ingresos del 12.61% ($2.628,4</w:t>
      </w:r>
      <w:r w:rsidRPr="000A5A8D">
        <w:rPr>
          <w:rFonts w:ascii="Tahoma" w:hAnsi="Tahoma" w:cs="Tahoma"/>
          <w:color w:val="auto"/>
        </w:rPr>
        <w:t xml:space="preserve"> millones) al pasar de obtener unos </w:t>
      </w:r>
      <w:r w:rsidR="000A5A8D" w:rsidRPr="000A5A8D">
        <w:rPr>
          <w:rFonts w:ascii="Tahoma" w:hAnsi="Tahoma" w:cs="Tahoma"/>
          <w:color w:val="auto"/>
        </w:rPr>
        <w:t>ingresos en el 2014 de ($20.851,8</w:t>
      </w:r>
      <w:r w:rsidRPr="000A5A8D">
        <w:rPr>
          <w:rFonts w:ascii="Tahoma" w:hAnsi="Tahoma" w:cs="Tahoma"/>
          <w:color w:val="auto"/>
        </w:rPr>
        <w:t xml:space="preserve"> millones)  a unos </w:t>
      </w:r>
      <w:r w:rsidR="000A5A8D" w:rsidRPr="000A5A8D">
        <w:rPr>
          <w:rFonts w:ascii="Tahoma" w:hAnsi="Tahoma" w:cs="Tahoma"/>
          <w:color w:val="auto"/>
        </w:rPr>
        <w:t>ingresos en el 2015 de $23.480,3</w:t>
      </w:r>
      <w:r w:rsidRPr="000A5A8D">
        <w:rPr>
          <w:rFonts w:ascii="Tahoma" w:hAnsi="Tahoma" w:cs="Tahoma"/>
          <w:color w:val="auto"/>
        </w:rPr>
        <w:t xml:space="preserve"> millones.</w:t>
      </w:r>
    </w:p>
    <w:p w:rsidR="009961BF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961BF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  <w:r w:rsidRPr="00D70440">
        <w:rPr>
          <w:rFonts w:ascii="Tahoma" w:hAnsi="Tahoma" w:cs="Tahoma"/>
          <w:color w:val="auto"/>
        </w:rPr>
        <w:t>Dentro de la estructura de l</w:t>
      </w:r>
      <w:r w:rsidR="00D70440" w:rsidRPr="00D70440">
        <w:rPr>
          <w:rFonts w:ascii="Tahoma" w:hAnsi="Tahoma" w:cs="Tahoma"/>
          <w:color w:val="auto"/>
        </w:rPr>
        <w:t>os ingresos se tiene que el 80.49</w:t>
      </w:r>
      <w:r w:rsidRPr="00D70440">
        <w:rPr>
          <w:rFonts w:ascii="Tahoma" w:hAnsi="Tahoma" w:cs="Tahoma"/>
          <w:color w:val="auto"/>
        </w:rPr>
        <w:t>% proviene</w:t>
      </w:r>
      <w:r w:rsidR="00D70440" w:rsidRPr="00D70440">
        <w:rPr>
          <w:rFonts w:ascii="Tahoma" w:hAnsi="Tahoma" w:cs="Tahoma"/>
          <w:color w:val="auto"/>
        </w:rPr>
        <w:t>n de las Transferencias, el 8.10</w:t>
      </w:r>
      <w:r w:rsidRPr="00D70440">
        <w:rPr>
          <w:rFonts w:ascii="Tahoma" w:hAnsi="Tahoma" w:cs="Tahoma"/>
          <w:color w:val="auto"/>
        </w:rPr>
        <w:t>% d</w:t>
      </w:r>
      <w:r w:rsidR="00D70440" w:rsidRPr="00D70440">
        <w:rPr>
          <w:rFonts w:ascii="Tahoma" w:hAnsi="Tahoma" w:cs="Tahoma"/>
          <w:color w:val="auto"/>
        </w:rPr>
        <w:t>e los Ingresos Fiscales y el 7.39</w:t>
      </w:r>
      <w:r w:rsidRPr="00D70440">
        <w:rPr>
          <w:rFonts w:ascii="Tahoma" w:hAnsi="Tahoma" w:cs="Tahoma"/>
          <w:color w:val="auto"/>
        </w:rPr>
        <w:t>% de otros Ingresos</w:t>
      </w:r>
      <w:r w:rsidRPr="000A5A8D">
        <w:rPr>
          <w:rFonts w:ascii="Tahoma" w:hAnsi="Tahoma" w:cs="Tahoma"/>
          <w:color w:val="FF0000"/>
        </w:rPr>
        <w:t>.</w:t>
      </w:r>
    </w:p>
    <w:p w:rsidR="009961BF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961BF" w:rsidRPr="00D70440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D70440">
        <w:rPr>
          <w:rFonts w:ascii="Tahoma" w:hAnsi="Tahoma" w:cs="Tahoma"/>
          <w:color w:val="auto"/>
        </w:rPr>
        <w:t>Los Ingresos Fiscales presentó un incremento de</w:t>
      </w:r>
      <w:r w:rsidR="00D70440" w:rsidRPr="00D70440">
        <w:rPr>
          <w:rFonts w:ascii="Tahoma" w:hAnsi="Tahoma" w:cs="Tahoma"/>
          <w:color w:val="auto"/>
        </w:rPr>
        <w:t>l 5.52% ($99.4</w:t>
      </w:r>
      <w:r w:rsidRPr="00D70440">
        <w:rPr>
          <w:rFonts w:ascii="Tahoma" w:hAnsi="Tahoma" w:cs="Tahoma"/>
          <w:color w:val="auto"/>
        </w:rPr>
        <w:t xml:space="preserve"> millones) </w:t>
      </w:r>
      <w:r w:rsidR="00D70440" w:rsidRPr="00D70440">
        <w:rPr>
          <w:rFonts w:ascii="Tahoma" w:hAnsi="Tahoma" w:cs="Tahoma"/>
          <w:color w:val="auto"/>
        </w:rPr>
        <w:t>entre el 2014 al 2015</w:t>
      </w:r>
      <w:r w:rsidRPr="00D70440">
        <w:rPr>
          <w:rFonts w:ascii="Tahoma" w:hAnsi="Tahoma" w:cs="Tahoma"/>
          <w:color w:val="auto"/>
        </w:rPr>
        <w:t>, finalizando la v</w:t>
      </w:r>
      <w:r w:rsidR="00D70440" w:rsidRPr="00D70440">
        <w:rPr>
          <w:rFonts w:ascii="Tahoma" w:hAnsi="Tahoma" w:cs="Tahoma"/>
          <w:color w:val="auto"/>
        </w:rPr>
        <w:t>igencia 2015 con un saldo de $1.903,2</w:t>
      </w:r>
      <w:r w:rsidRPr="00D70440">
        <w:rPr>
          <w:rFonts w:ascii="Tahoma" w:hAnsi="Tahoma" w:cs="Tahoma"/>
          <w:color w:val="auto"/>
        </w:rPr>
        <w:t xml:space="preserve"> millone</w:t>
      </w:r>
      <w:r w:rsidR="00D70440" w:rsidRPr="00D70440">
        <w:rPr>
          <w:rFonts w:ascii="Tahoma" w:hAnsi="Tahoma" w:cs="Tahoma"/>
          <w:color w:val="auto"/>
        </w:rPr>
        <w:t>s.  Dentro de este grupo el 56.16</w:t>
      </w:r>
      <w:r w:rsidRPr="00D70440">
        <w:rPr>
          <w:rFonts w:ascii="Tahoma" w:hAnsi="Tahoma" w:cs="Tahoma"/>
          <w:color w:val="auto"/>
        </w:rPr>
        <w:t>% corresponde a Ingresos Tributarios cuyo comportamiento entre el 2014 y el 2015 reflejan un</w:t>
      </w:r>
      <w:r w:rsidR="00D70440" w:rsidRPr="00D70440">
        <w:rPr>
          <w:rFonts w:ascii="Tahoma" w:hAnsi="Tahoma" w:cs="Tahoma"/>
          <w:color w:val="auto"/>
        </w:rPr>
        <w:t>a disminución del 12.42%</w:t>
      </w:r>
      <w:r w:rsidRPr="00D70440">
        <w:rPr>
          <w:rFonts w:ascii="Tahoma" w:hAnsi="Tahoma" w:cs="Tahoma"/>
          <w:color w:val="auto"/>
        </w:rPr>
        <w:t xml:space="preserve"> </w:t>
      </w:r>
      <w:r w:rsidR="00D70440" w:rsidRPr="00D70440">
        <w:rPr>
          <w:rFonts w:ascii="Tahoma" w:hAnsi="Tahoma" w:cs="Tahoma"/>
          <w:color w:val="auto"/>
        </w:rPr>
        <w:t>representados en 151,6</w:t>
      </w:r>
      <w:r w:rsidRPr="00D70440">
        <w:rPr>
          <w:rFonts w:ascii="Tahoma" w:hAnsi="Tahoma" w:cs="Tahoma"/>
          <w:color w:val="auto"/>
        </w:rPr>
        <w:t xml:space="preserve"> millones finalizando de esta manera </w:t>
      </w:r>
      <w:r w:rsidR="00D70440" w:rsidRPr="00D70440">
        <w:rPr>
          <w:rFonts w:ascii="Tahoma" w:hAnsi="Tahoma" w:cs="Tahoma"/>
          <w:color w:val="auto"/>
        </w:rPr>
        <w:t>el 2015 con un saldo de $1.903,2</w:t>
      </w:r>
      <w:r w:rsidRPr="00D70440">
        <w:rPr>
          <w:rFonts w:ascii="Tahoma" w:hAnsi="Tahoma" w:cs="Tahoma"/>
          <w:color w:val="auto"/>
        </w:rPr>
        <w:t xml:space="preserve"> millones.</w:t>
      </w:r>
    </w:p>
    <w:p w:rsidR="009961BF" w:rsidRPr="000A5A8D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9961BF" w:rsidRPr="003578AE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578AE">
        <w:rPr>
          <w:rFonts w:ascii="Tahoma" w:hAnsi="Tahoma" w:cs="Tahoma"/>
          <w:color w:val="auto"/>
        </w:rPr>
        <w:t>Los Ingresos No Tri</w:t>
      </w:r>
      <w:r w:rsidR="00D70440" w:rsidRPr="003578AE">
        <w:rPr>
          <w:rFonts w:ascii="Tahoma" w:hAnsi="Tahoma" w:cs="Tahoma"/>
          <w:color w:val="auto"/>
        </w:rPr>
        <w:t>butarios que representan el 43.83</w:t>
      </w:r>
      <w:r w:rsidRPr="003578AE">
        <w:rPr>
          <w:rFonts w:ascii="Tahoma" w:hAnsi="Tahoma" w:cs="Tahoma"/>
          <w:color w:val="auto"/>
        </w:rPr>
        <w:t xml:space="preserve">% de los Ingresos Fiscales finalizaron la vigencia 2015 </w:t>
      </w:r>
      <w:r w:rsidR="00D70440" w:rsidRPr="003578AE">
        <w:rPr>
          <w:rFonts w:ascii="Tahoma" w:hAnsi="Tahoma" w:cs="Tahoma"/>
          <w:color w:val="auto"/>
        </w:rPr>
        <w:t>con un saldo de $834.2</w:t>
      </w:r>
      <w:r w:rsidR="00B57255" w:rsidRPr="003578AE">
        <w:rPr>
          <w:rFonts w:ascii="Tahoma" w:hAnsi="Tahoma" w:cs="Tahoma"/>
          <w:color w:val="auto"/>
        </w:rPr>
        <w:t xml:space="preserve"> millones presentando entre e</w:t>
      </w:r>
      <w:r w:rsidR="00D70440" w:rsidRPr="003578AE">
        <w:rPr>
          <w:rFonts w:ascii="Tahoma" w:hAnsi="Tahoma" w:cs="Tahoma"/>
          <w:color w:val="auto"/>
        </w:rPr>
        <w:t>l 2014 y el 2015 un incremento del 43.07% ($</w:t>
      </w:r>
      <w:r w:rsidR="003578AE" w:rsidRPr="003578AE">
        <w:rPr>
          <w:rFonts w:ascii="Tahoma" w:hAnsi="Tahoma" w:cs="Tahoma"/>
          <w:color w:val="auto"/>
        </w:rPr>
        <w:t>251,1 millones).</w:t>
      </w:r>
    </w:p>
    <w:p w:rsidR="00B57255" w:rsidRPr="000A5A8D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B57255" w:rsidRPr="003578AE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3578AE">
        <w:rPr>
          <w:rFonts w:ascii="Tahoma" w:hAnsi="Tahoma" w:cs="Tahoma"/>
          <w:color w:val="auto"/>
        </w:rPr>
        <w:t xml:space="preserve">Las Transferencias, cuenta de mayor representatividad dentro de la </w:t>
      </w:r>
      <w:r w:rsidR="003578AE" w:rsidRPr="003578AE">
        <w:rPr>
          <w:rFonts w:ascii="Tahoma" w:hAnsi="Tahoma" w:cs="Tahoma"/>
          <w:color w:val="auto"/>
        </w:rPr>
        <w:t>estructura de los ingresos (84.49</w:t>
      </w:r>
      <w:r w:rsidRPr="003578AE">
        <w:rPr>
          <w:rFonts w:ascii="Tahoma" w:hAnsi="Tahoma" w:cs="Tahoma"/>
          <w:color w:val="auto"/>
        </w:rPr>
        <w:t xml:space="preserve">%) presento entre el 2014 al 2015 </w:t>
      </w:r>
      <w:r w:rsidR="003578AE" w:rsidRPr="003578AE">
        <w:rPr>
          <w:rFonts w:ascii="Tahoma" w:hAnsi="Tahoma" w:cs="Tahoma"/>
          <w:color w:val="auto"/>
        </w:rPr>
        <w:t>una variación positiva del 12.02% representado en $2.128,5</w:t>
      </w:r>
      <w:r w:rsidRPr="003578AE">
        <w:rPr>
          <w:rFonts w:ascii="Tahoma" w:hAnsi="Tahoma" w:cs="Tahoma"/>
          <w:color w:val="auto"/>
        </w:rPr>
        <w:t xml:space="preserve"> millones pasando de tener regist</w:t>
      </w:r>
      <w:r w:rsidR="003578AE" w:rsidRPr="003578AE">
        <w:rPr>
          <w:rFonts w:ascii="Tahoma" w:hAnsi="Tahoma" w:cs="Tahoma"/>
          <w:color w:val="auto"/>
        </w:rPr>
        <w:t>ros en el 2014 en cuantía de $17.712,3 millones a $19.840.8</w:t>
      </w:r>
      <w:r w:rsidRPr="003578AE">
        <w:rPr>
          <w:rFonts w:ascii="Tahoma" w:hAnsi="Tahoma" w:cs="Tahoma"/>
          <w:color w:val="auto"/>
        </w:rPr>
        <w:t xml:space="preserve"> millones en el 2015.</w:t>
      </w:r>
    </w:p>
    <w:p w:rsidR="00B57255" w:rsidRPr="000A5A8D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B57255" w:rsidRPr="00A742F1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742F1">
        <w:rPr>
          <w:rFonts w:ascii="Tahoma" w:hAnsi="Tahoma" w:cs="Tahoma"/>
          <w:color w:val="auto"/>
        </w:rPr>
        <w:t>Los Ingresos provenientes del Sistema General de Participaciones, pre</w:t>
      </w:r>
      <w:r w:rsidR="00A742F1" w:rsidRPr="00A742F1">
        <w:rPr>
          <w:rFonts w:ascii="Tahoma" w:hAnsi="Tahoma" w:cs="Tahoma"/>
          <w:color w:val="auto"/>
        </w:rPr>
        <w:t>sentaron un incremento del 5.37% ($602.8</w:t>
      </w:r>
      <w:r w:rsidRPr="00A742F1">
        <w:rPr>
          <w:rFonts w:ascii="Tahoma" w:hAnsi="Tahoma" w:cs="Tahoma"/>
          <w:color w:val="auto"/>
        </w:rPr>
        <w:t xml:space="preserve"> millones) pasando </w:t>
      </w:r>
      <w:r w:rsidR="00A742F1" w:rsidRPr="00A742F1">
        <w:rPr>
          <w:rFonts w:ascii="Tahoma" w:hAnsi="Tahoma" w:cs="Tahoma"/>
          <w:color w:val="auto"/>
        </w:rPr>
        <w:t>de percibir en el 2014 ($11.220,6 millones) al 2015 ($11.823,4</w:t>
      </w:r>
      <w:r w:rsidRPr="00A742F1">
        <w:rPr>
          <w:rFonts w:ascii="Tahoma" w:hAnsi="Tahoma" w:cs="Tahoma"/>
          <w:color w:val="auto"/>
        </w:rPr>
        <w:t xml:space="preserve"> millones).</w:t>
      </w:r>
    </w:p>
    <w:p w:rsidR="00B57255" w:rsidRPr="000A5A8D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B57255" w:rsidRPr="00A742F1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742F1">
        <w:rPr>
          <w:rFonts w:ascii="Tahoma" w:hAnsi="Tahoma" w:cs="Tahoma"/>
          <w:color w:val="auto"/>
        </w:rPr>
        <w:t xml:space="preserve">Los sectores beneficiados con el incremento de las transferencias por concepto del Sistema General de Participaciones fueron el Sector  Salud, sobre los cuales se destinaron  el </w:t>
      </w:r>
      <w:r w:rsidR="00A742F1" w:rsidRPr="00A742F1">
        <w:rPr>
          <w:rFonts w:ascii="Tahoma" w:hAnsi="Tahoma" w:cs="Tahoma"/>
          <w:color w:val="auto"/>
        </w:rPr>
        <w:t>50</w:t>
      </w:r>
      <w:r w:rsidR="00321B22" w:rsidRPr="00A742F1">
        <w:rPr>
          <w:rFonts w:ascii="Tahoma" w:hAnsi="Tahoma" w:cs="Tahoma"/>
          <w:color w:val="auto"/>
        </w:rPr>
        <w:t>%, finalizando la v</w:t>
      </w:r>
      <w:r w:rsidR="00A742F1" w:rsidRPr="00A742F1">
        <w:rPr>
          <w:rFonts w:ascii="Tahoma" w:hAnsi="Tahoma" w:cs="Tahoma"/>
          <w:color w:val="auto"/>
        </w:rPr>
        <w:t>igencia con un saldo de $5.948,6</w:t>
      </w:r>
      <w:r w:rsidR="00321B22" w:rsidRPr="00A742F1">
        <w:rPr>
          <w:rFonts w:ascii="Tahoma" w:hAnsi="Tahoma" w:cs="Tahoma"/>
          <w:color w:val="auto"/>
        </w:rPr>
        <w:t xml:space="preserve"> millones incrementando con respect</w:t>
      </w:r>
      <w:r w:rsidR="00A742F1" w:rsidRPr="00A742F1">
        <w:rPr>
          <w:rFonts w:ascii="Tahoma" w:hAnsi="Tahoma" w:cs="Tahoma"/>
          <w:color w:val="auto"/>
        </w:rPr>
        <w:t>o al 2014 su saldo en el 9.71%</w:t>
      </w:r>
      <w:r w:rsidR="00321B22" w:rsidRPr="00A742F1">
        <w:rPr>
          <w:rFonts w:ascii="Tahoma" w:hAnsi="Tahoma" w:cs="Tahoma"/>
          <w:color w:val="auto"/>
        </w:rPr>
        <w:t xml:space="preserve">% pues en el 2014  </w:t>
      </w:r>
      <w:r w:rsidR="00A742F1" w:rsidRPr="00A742F1">
        <w:rPr>
          <w:rFonts w:ascii="Tahoma" w:hAnsi="Tahoma" w:cs="Tahoma"/>
          <w:color w:val="auto"/>
        </w:rPr>
        <w:t>había alcanzado la suma de $5.422,4</w:t>
      </w:r>
      <w:r w:rsidR="00321B22" w:rsidRPr="00A742F1">
        <w:rPr>
          <w:rFonts w:ascii="Tahoma" w:hAnsi="Tahoma" w:cs="Tahoma"/>
          <w:color w:val="auto"/>
        </w:rPr>
        <w:t xml:space="preserve"> millones, mientras que al cier</w:t>
      </w:r>
      <w:r w:rsidR="00A742F1" w:rsidRPr="00A742F1">
        <w:rPr>
          <w:rFonts w:ascii="Tahoma" w:hAnsi="Tahoma" w:cs="Tahoma"/>
          <w:color w:val="auto"/>
        </w:rPr>
        <w:t>re del 2015 finalizó en $5.948,6</w:t>
      </w:r>
      <w:r w:rsidR="00321B22" w:rsidRPr="00A742F1">
        <w:rPr>
          <w:rFonts w:ascii="Tahoma" w:hAnsi="Tahoma" w:cs="Tahoma"/>
          <w:color w:val="auto"/>
        </w:rPr>
        <w:t xml:space="preserve"> millones.</w:t>
      </w:r>
    </w:p>
    <w:p w:rsidR="00321B22" w:rsidRPr="000A5A8D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321B22" w:rsidRPr="00A742F1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A742F1">
        <w:rPr>
          <w:rFonts w:ascii="Tahoma" w:hAnsi="Tahoma" w:cs="Tahoma"/>
          <w:color w:val="auto"/>
        </w:rPr>
        <w:t>Para el sector de Propósito General, se asignaro</w:t>
      </w:r>
      <w:r w:rsidR="00A742F1" w:rsidRPr="00A742F1">
        <w:rPr>
          <w:rFonts w:ascii="Tahoma" w:hAnsi="Tahoma" w:cs="Tahoma"/>
          <w:color w:val="auto"/>
        </w:rPr>
        <w:t xml:space="preserve">n ingresos en cuantía de $2.993,2 </w:t>
      </w:r>
      <w:r w:rsidRPr="00A742F1">
        <w:rPr>
          <w:rFonts w:ascii="Tahoma" w:hAnsi="Tahoma" w:cs="Tahoma"/>
          <w:color w:val="auto"/>
        </w:rPr>
        <w:t xml:space="preserve">millones </w:t>
      </w:r>
      <w:r w:rsidR="00A742F1" w:rsidRPr="00A742F1">
        <w:rPr>
          <w:rFonts w:ascii="Tahoma" w:hAnsi="Tahoma" w:cs="Tahoma"/>
          <w:color w:val="auto"/>
        </w:rPr>
        <w:t>que representan el  25.31</w:t>
      </w:r>
      <w:r w:rsidRPr="00A742F1">
        <w:rPr>
          <w:rFonts w:ascii="Tahoma" w:hAnsi="Tahoma" w:cs="Tahoma"/>
          <w:color w:val="auto"/>
        </w:rPr>
        <w:t>% del total de las transferencias del Sistema General de Participaciones, el saldo de la cuenta se incrementó c</w:t>
      </w:r>
      <w:r w:rsidR="00A742F1" w:rsidRPr="00A742F1">
        <w:rPr>
          <w:rFonts w:ascii="Tahoma" w:hAnsi="Tahoma" w:cs="Tahoma"/>
          <w:color w:val="auto"/>
        </w:rPr>
        <w:t>on  respecto al 2014 en un 2.40% representados en $70.1</w:t>
      </w:r>
      <w:r w:rsidRPr="00A742F1">
        <w:rPr>
          <w:rFonts w:ascii="Tahoma" w:hAnsi="Tahoma" w:cs="Tahoma"/>
          <w:color w:val="auto"/>
        </w:rPr>
        <w:t xml:space="preserve"> millones, finalizando de esta manera la anualidad de 2015 en $2.</w:t>
      </w:r>
      <w:r w:rsidR="00A742F1" w:rsidRPr="00A742F1">
        <w:rPr>
          <w:rFonts w:ascii="Tahoma" w:hAnsi="Tahoma" w:cs="Tahoma"/>
          <w:color w:val="auto"/>
        </w:rPr>
        <w:t>993.2</w:t>
      </w:r>
      <w:r w:rsidRPr="00A742F1">
        <w:rPr>
          <w:rFonts w:ascii="Tahoma" w:hAnsi="Tahoma" w:cs="Tahoma"/>
          <w:color w:val="auto"/>
        </w:rPr>
        <w:t xml:space="preserve"> millones.</w:t>
      </w:r>
    </w:p>
    <w:p w:rsidR="00321B22" w:rsidRPr="00A742F1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321B22" w:rsidRPr="000B18CD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0B18CD">
        <w:rPr>
          <w:rFonts w:ascii="Tahoma" w:hAnsi="Tahoma" w:cs="Tahoma"/>
          <w:color w:val="auto"/>
        </w:rPr>
        <w:lastRenderedPageBreak/>
        <w:t xml:space="preserve">Las transferencias por concepto de “Regalías” </w:t>
      </w:r>
      <w:r w:rsidR="00A742F1" w:rsidRPr="000B18CD">
        <w:rPr>
          <w:rFonts w:ascii="Tahoma" w:hAnsi="Tahoma" w:cs="Tahoma"/>
          <w:color w:val="auto"/>
        </w:rPr>
        <w:t xml:space="preserve">disminuyeron </w:t>
      </w:r>
      <w:r w:rsidRPr="000B18CD">
        <w:rPr>
          <w:rFonts w:ascii="Tahoma" w:hAnsi="Tahoma" w:cs="Tahoma"/>
          <w:color w:val="auto"/>
        </w:rPr>
        <w:t>el saldo entre las vigencias 2014 y 2015</w:t>
      </w:r>
      <w:r w:rsidR="00A742F1" w:rsidRPr="000B18CD">
        <w:rPr>
          <w:rFonts w:ascii="Tahoma" w:hAnsi="Tahoma" w:cs="Tahoma"/>
          <w:color w:val="auto"/>
        </w:rPr>
        <w:t xml:space="preserve"> en $319,2 millones que representan </w:t>
      </w:r>
      <w:r w:rsidR="000B18CD" w:rsidRPr="000B18CD">
        <w:rPr>
          <w:rFonts w:ascii="Tahoma" w:hAnsi="Tahoma" w:cs="Tahoma"/>
          <w:color w:val="auto"/>
        </w:rPr>
        <w:t>un decrecimiento del 23.50%  al pasar en el 2014 ($1.</w:t>
      </w:r>
      <w:r w:rsidR="000B18CD">
        <w:rPr>
          <w:rFonts w:ascii="Tahoma" w:hAnsi="Tahoma" w:cs="Tahoma"/>
          <w:color w:val="auto"/>
        </w:rPr>
        <w:t>3</w:t>
      </w:r>
      <w:r w:rsidR="000B18CD" w:rsidRPr="000B18CD">
        <w:rPr>
          <w:rFonts w:ascii="Tahoma" w:hAnsi="Tahoma" w:cs="Tahoma"/>
          <w:color w:val="auto"/>
        </w:rPr>
        <w:t>58,1 millones) al 2015 ($1.038,9</w:t>
      </w:r>
      <w:r w:rsidRPr="000B18CD">
        <w:rPr>
          <w:rFonts w:ascii="Tahoma" w:hAnsi="Tahoma" w:cs="Tahoma"/>
          <w:color w:val="auto"/>
        </w:rPr>
        <w:t xml:space="preserve"> millones).</w:t>
      </w:r>
    </w:p>
    <w:p w:rsidR="00A742F1" w:rsidRPr="000B18CD" w:rsidRDefault="00A742F1" w:rsidP="000B18CD">
      <w:pPr>
        <w:spacing w:before="0" w:after="0" w:line="228" w:lineRule="auto"/>
        <w:rPr>
          <w:rFonts w:ascii="Tahoma" w:hAnsi="Tahoma" w:cs="Tahoma"/>
          <w:b/>
          <w:color w:val="FF0000"/>
        </w:rPr>
      </w:pPr>
    </w:p>
    <w:p w:rsidR="000B18CD" w:rsidRPr="000B18CD" w:rsidRDefault="00321B22" w:rsidP="000B18CD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  <w:r w:rsidRPr="000B18CD">
        <w:rPr>
          <w:rFonts w:ascii="Tahoma" w:hAnsi="Tahoma" w:cs="Tahoma"/>
          <w:color w:val="auto"/>
        </w:rPr>
        <w:t>El total de gasto</w:t>
      </w:r>
      <w:r w:rsidR="000B18CD" w:rsidRPr="000B18CD">
        <w:rPr>
          <w:rFonts w:ascii="Tahoma" w:hAnsi="Tahoma" w:cs="Tahoma"/>
          <w:color w:val="auto"/>
        </w:rPr>
        <w:t xml:space="preserve">s en el 2015 fue de  ($23.480,3 millones), saldo que presentó  un crecimiento del 12.61 </w:t>
      </w:r>
      <w:r w:rsidRPr="000B18CD">
        <w:rPr>
          <w:rFonts w:ascii="Tahoma" w:hAnsi="Tahoma" w:cs="Tahoma"/>
          <w:color w:val="auto"/>
        </w:rPr>
        <w:t>%</w:t>
      </w:r>
      <w:r w:rsidR="007D5C4B" w:rsidRPr="000B18CD">
        <w:rPr>
          <w:rFonts w:ascii="Tahoma" w:hAnsi="Tahoma" w:cs="Tahoma"/>
          <w:color w:val="auto"/>
        </w:rPr>
        <w:t xml:space="preserve"> frente a lo contabili</w:t>
      </w:r>
      <w:r w:rsidR="000B18CD" w:rsidRPr="000B18CD">
        <w:rPr>
          <w:rFonts w:ascii="Tahoma" w:hAnsi="Tahoma" w:cs="Tahoma"/>
          <w:color w:val="auto"/>
        </w:rPr>
        <w:t>zado en el 2014 ($20.851,8 millones</w:t>
      </w:r>
      <w:r w:rsidR="007D5C4B" w:rsidRPr="000B18CD">
        <w:rPr>
          <w:rFonts w:ascii="Tahoma" w:hAnsi="Tahoma" w:cs="Tahoma"/>
          <w:color w:val="auto"/>
        </w:rPr>
        <w:t>).</w:t>
      </w:r>
    </w:p>
    <w:p w:rsidR="000B18CD" w:rsidRPr="000A5A8D" w:rsidRDefault="000B18CD" w:rsidP="00B24CA8">
      <w:pPr>
        <w:pStyle w:val="Prrafodelista"/>
        <w:spacing w:before="0" w:after="0" w:line="228" w:lineRule="auto"/>
        <w:rPr>
          <w:rFonts w:ascii="Tahoma" w:hAnsi="Tahoma" w:cs="Tahoma"/>
          <w:color w:val="FF0000"/>
        </w:rPr>
      </w:pPr>
    </w:p>
    <w:p w:rsidR="007D5C4B" w:rsidRPr="0081311A" w:rsidRDefault="0081311A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81311A">
        <w:rPr>
          <w:rFonts w:ascii="Tahoma" w:hAnsi="Tahoma" w:cs="Tahoma"/>
          <w:color w:val="auto"/>
        </w:rPr>
        <w:t xml:space="preserve">Durante la Vigencia 2015, el </w:t>
      </w:r>
      <w:r w:rsidR="007D5C4B" w:rsidRPr="0081311A">
        <w:rPr>
          <w:rFonts w:ascii="Tahoma" w:hAnsi="Tahoma" w:cs="Tahoma"/>
          <w:color w:val="auto"/>
        </w:rPr>
        <w:t xml:space="preserve">“Gasto Público Social” </w:t>
      </w:r>
      <w:r w:rsidRPr="0081311A">
        <w:rPr>
          <w:rFonts w:ascii="Tahoma" w:hAnsi="Tahoma" w:cs="Tahoma"/>
          <w:color w:val="auto"/>
        </w:rPr>
        <w:t xml:space="preserve">percibió ingresos en cuantía de $16.066,6 millones, </w:t>
      </w:r>
      <w:r w:rsidR="007D5C4B" w:rsidRPr="0081311A">
        <w:rPr>
          <w:rFonts w:ascii="Tahoma" w:hAnsi="Tahoma" w:cs="Tahoma"/>
          <w:color w:val="auto"/>
        </w:rPr>
        <w:t xml:space="preserve"> cuenta que p</w:t>
      </w:r>
      <w:r w:rsidR="000B18CD" w:rsidRPr="0081311A">
        <w:rPr>
          <w:rFonts w:ascii="Tahoma" w:hAnsi="Tahoma" w:cs="Tahoma"/>
          <w:color w:val="auto"/>
        </w:rPr>
        <w:t>resentó un incremento del 25.29% ($3.243,1</w:t>
      </w:r>
      <w:r w:rsidR="007D5C4B" w:rsidRPr="0081311A">
        <w:rPr>
          <w:rFonts w:ascii="Tahoma" w:hAnsi="Tahoma" w:cs="Tahoma"/>
          <w:color w:val="auto"/>
        </w:rPr>
        <w:t xml:space="preserve"> millones) del 2014 al 2015, finalizando </w:t>
      </w:r>
      <w:r w:rsidR="000B18CD" w:rsidRPr="0081311A">
        <w:rPr>
          <w:rFonts w:ascii="Tahoma" w:hAnsi="Tahoma" w:cs="Tahoma"/>
          <w:color w:val="auto"/>
        </w:rPr>
        <w:t>esta última vigencia en $16.066,6</w:t>
      </w:r>
      <w:r w:rsidR="007D5C4B" w:rsidRPr="0081311A">
        <w:rPr>
          <w:rFonts w:ascii="Tahoma" w:hAnsi="Tahoma" w:cs="Tahoma"/>
          <w:color w:val="auto"/>
        </w:rPr>
        <w:t xml:space="preserve"> millones.</w:t>
      </w:r>
    </w:p>
    <w:p w:rsidR="000B18CD" w:rsidRPr="0081311A" w:rsidRDefault="000B18CD" w:rsidP="000B18CD">
      <w:pPr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3E2908" w:rsidRPr="0081311A" w:rsidRDefault="007D5C4B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81311A">
        <w:rPr>
          <w:rFonts w:ascii="Tahoma" w:hAnsi="Tahoma" w:cs="Tahoma"/>
          <w:color w:val="auto"/>
        </w:rPr>
        <w:t>Dentro de este grupo, el sector que más demando gastos fue el sector de Salud</w:t>
      </w:r>
      <w:r w:rsidR="003E2908" w:rsidRPr="0081311A">
        <w:rPr>
          <w:rFonts w:ascii="Tahoma" w:hAnsi="Tahoma" w:cs="Tahoma"/>
          <w:color w:val="auto"/>
        </w:rPr>
        <w:t>, cuya cuenta</w:t>
      </w:r>
      <w:r w:rsidR="0081311A" w:rsidRPr="0081311A">
        <w:rPr>
          <w:rFonts w:ascii="Tahoma" w:hAnsi="Tahoma" w:cs="Tahoma"/>
          <w:color w:val="auto"/>
        </w:rPr>
        <w:t xml:space="preserve"> finalizó en el 2015 en $12.856,2 </w:t>
      </w:r>
      <w:r w:rsidR="003E2908" w:rsidRPr="0081311A">
        <w:rPr>
          <w:rFonts w:ascii="Tahoma" w:hAnsi="Tahoma" w:cs="Tahoma"/>
          <w:color w:val="auto"/>
        </w:rPr>
        <w:t>millo</w:t>
      </w:r>
      <w:r w:rsidR="0081311A" w:rsidRPr="0081311A">
        <w:rPr>
          <w:rFonts w:ascii="Tahoma" w:hAnsi="Tahoma" w:cs="Tahoma"/>
          <w:color w:val="auto"/>
        </w:rPr>
        <w:t>nes con un incremento del 22% entre las dos anualidades representados en $2.318,6 millones.</w:t>
      </w:r>
    </w:p>
    <w:p w:rsidR="003E2908" w:rsidRPr="000A5A8D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FF0000"/>
        </w:rPr>
      </w:pPr>
    </w:p>
    <w:p w:rsidR="003E2908" w:rsidRPr="00C6199A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C6199A">
        <w:rPr>
          <w:rFonts w:ascii="Tahoma" w:hAnsi="Tahoma" w:cs="Tahoma"/>
          <w:color w:val="auto"/>
        </w:rPr>
        <w:t>Sobresale de igual forma el incremento porcentual de</w:t>
      </w:r>
      <w:r w:rsidR="0081311A" w:rsidRPr="00C6199A">
        <w:rPr>
          <w:rFonts w:ascii="Tahoma" w:hAnsi="Tahoma" w:cs="Tahoma"/>
          <w:color w:val="auto"/>
        </w:rPr>
        <w:t xml:space="preserve">l 26.08% destinados para el sector de educación </w:t>
      </w:r>
      <w:r w:rsidRPr="00C6199A">
        <w:rPr>
          <w:rFonts w:ascii="Tahoma" w:hAnsi="Tahoma" w:cs="Tahoma"/>
          <w:color w:val="auto"/>
        </w:rPr>
        <w:t xml:space="preserve"> al </w:t>
      </w:r>
      <w:r w:rsidR="0081311A" w:rsidRPr="00C6199A">
        <w:rPr>
          <w:rFonts w:ascii="Tahoma" w:hAnsi="Tahoma" w:cs="Tahoma"/>
          <w:color w:val="auto"/>
        </w:rPr>
        <w:t xml:space="preserve">pasar en el 2014 ($1.409,3 </w:t>
      </w:r>
      <w:proofErr w:type="gramStart"/>
      <w:r w:rsidR="0081311A" w:rsidRPr="00C6199A">
        <w:rPr>
          <w:rFonts w:ascii="Tahoma" w:hAnsi="Tahoma" w:cs="Tahoma"/>
          <w:color w:val="auto"/>
        </w:rPr>
        <w:t>millones )</w:t>
      </w:r>
      <w:proofErr w:type="gramEnd"/>
      <w:r w:rsidR="0081311A" w:rsidRPr="00C6199A">
        <w:rPr>
          <w:rFonts w:ascii="Tahoma" w:hAnsi="Tahoma" w:cs="Tahoma"/>
          <w:color w:val="auto"/>
        </w:rPr>
        <w:t xml:space="preserve"> a ($1.776,9 </w:t>
      </w:r>
      <w:r w:rsidRPr="00C6199A">
        <w:rPr>
          <w:rFonts w:ascii="Tahoma" w:hAnsi="Tahoma" w:cs="Tahoma"/>
          <w:color w:val="auto"/>
        </w:rPr>
        <w:t>millones) en el 2015.</w:t>
      </w:r>
    </w:p>
    <w:p w:rsidR="003E2908" w:rsidRPr="00C6199A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</w:p>
    <w:p w:rsidR="007D5C4B" w:rsidRPr="00C6199A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  <w:color w:val="auto"/>
        </w:rPr>
      </w:pPr>
      <w:r w:rsidRPr="00C6199A">
        <w:rPr>
          <w:rFonts w:ascii="Tahoma" w:hAnsi="Tahoma" w:cs="Tahoma"/>
          <w:color w:val="auto"/>
        </w:rPr>
        <w:t xml:space="preserve">La Cuenta Otros Gastos, finalizó la </w:t>
      </w:r>
      <w:r w:rsidR="00C6199A" w:rsidRPr="00C6199A">
        <w:rPr>
          <w:rFonts w:ascii="Tahoma" w:hAnsi="Tahoma" w:cs="Tahoma"/>
          <w:color w:val="auto"/>
        </w:rPr>
        <w:t>anualidad con un saldo de $2.233,1</w:t>
      </w:r>
      <w:r w:rsidRPr="00C6199A">
        <w:rPr>
          <w:rFonts w:ascii="Tahoma" w:hAnsi="Tahoma" w:cs="Tahoma"/>
          <w:color w:val="auto"/>
        </w:rPr>
        <w:t xml:space="preserve"> mi</w:t>
      </w:r>
      <w:r w:rsidR="00C6199A" w:rsidRPr="00C6199A">
        <w:rPr>
          <w:rFonts w:ascii="Tahoma" w:hAnsi="Tahoma" w:cs="Tahoma"/>
          <w:color w:val="auto"/>
        </w:rPr>
        <w:t>llones incrementando en un 21.040,7%</w:t>
      </w:r>
      <w:r w:rsidRPr="00C6199A">
        <w:rPr>
          <w:rFonts w:ascii="Tahoma" w:hAnsi="Tahoma" w:cs="Tahoma"/>
          <w:color w:val="auto"/>
        </w:rPr>
        <w:t xml:space="preserve"> el saldo percibido en el 2014 que alc</w:t>
      </w:r>
      <w:r w:rsidR="00C6199A" w:rsidRPr="00C6199A">
        <w:rPr>
          <w:rFonts w:ascii="Tahoma" w:hAnsi="Tahoma" w:cs="Tahoma"/>
          <w:color w:val="auto"/>
        </w:rPr>
        <w:t>anzo la suma de ($10.5 millones</w:t>
      </w:r>
      <w:r w:rsidRPr="00C6199A">
        <w:rPr>
          <w:rFonts w:ascii="Tahoma" w:hAnsi="Tahoma" w:cs="Tahoma"/>
          <w:color w:val="auto"/>
        </w:rPr>
        <w:t>).</w:t>
      </w:r>
      <w:r w:rsidR="007D5C4B" w:rsidRPr="00C6199A">
        <w:rPr>
          <w:rFonts w:ascii="Tahoma" w:hAnsi="Tahoma" w:cs="Tahoma"/>
          <w:color w:val="auto"/>
        </w:rPr>
        <w:t xml:space="preserve"> </w:t>
      </w:r>
    </w:p>
    <w:p w:rsidR="0081311A" w:rsidRPr="000A5A8D" w:rsidRDefault="0081311A" w:rsidP="00AD4CE9">
      <w:pPr>
        <w:spacing w:before="0" w:after="0" w:line="228" w:lineRule="auto"/>
        <w:rPr>
          <w:rFonts w:ascii="Tahoma" w:hAnsi="Tahoma" w:cs="Tahoma"/>
          <w:color w:val="FF0000"/>
        </w:rPr>
      </w:pPr>
    </w:p>
    <w:p w:rsidR="00BC5D7D" w:rsidRPr="00AD4CE9" w:rsidRDefault="00814D3D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2443C3">
      <w:pPr>
        <w:pStyle w:val="Prrafodelista"/>
        <w:numPr>
          <w:ilvl w:val="1"/>
          <w:numId w:val="1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C6199A">
        <w:rPr>
          <w:rFonts w:ascii="Tahoma" w:hAnsi="Tahoma" w:cs="Tahoma"/>
        </w:rPr>
        <w:t>2.384.470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C6199A">
        <w:rPr>
          <w:rFonts w:ascii="Tahoma" w:hAnsi="Tahoma" w:cs="Tahoma"/>
        </w:rPr>
        <w:t>1.133.164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C6199A">
        <w:rPr>
          <w:rFonts w:ascii="Tahoma" w:hAnsi="Tahoma" w:cs="Tahoma"/>
        </w:rPr>
        <w:t xml:space="preserve">    595.731</w:t>
      </w:r>
      <w:r w:rsidR="003D5BDF">
        <w:rPr>
          <w:rFonts w:ascii="Tahoma" w:hAnsi="Tahoma" w:cs="Tahoma"/>
        </w:rPr>
        <w:t xml:space="preserve">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108E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C6199A">
        <w:rPr>
          <w:rFonts w:ascii="Tahoma" w:hAnsi="Tahoma" w:cs="Tahoma"/>
        </w:rPr>
        <w:t xml:space="preserve"> $4.113.365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 xml:space="preserve">es </w:t>
      </w:r>
      <w:r w:rsidR="00B66376">
        <w:rPr>
          <w:rFonts w:ascii="Tahoma" w:hAnsi="Tahoma" w:cs="Tahoma"/>
        </w:rPr>
        <w:t xml:space="preserve">de crédito </w:t>
      </w:r>
      <w:proofErr w:type="gramStart"/>
      <w:r w:rsidR="00B66376">
        <w:rPr>
          <w:rFonts w:ascii="Tahoma" w:hAnsi="Tahoma" w:cs="Tahoma"/>
        </w:rPr>
        <w:t>publico</w:t>
      </w:r>
      <w:proofErr w:type="gramEnd"/>
      <w:r w:rsidR="00B66376">
        <w:rPr>
          <w:rFonts w:ascii="Tahoma" w:hAnsi="Tahoma" w:cs="Tahoma"/>
        </w:rPr>
        <w:tab/>
      </w:r>
      <w:r w:rsidR="00310359">
        <w:rPr>
          <w:rFonts w:ascii="Tahoma" w:hAnsi="Tahoma" w:cs="Tahoma"/>
        </w:rPr>
        <w:t xml:space="preserve">            </w:t>
      </w:r>
      <w:r w:rsidR="00B66376">
        <w:rPr>
          <w:rFonts w:ascii="Tahoma" w:hAnsi="Tahoma" w:cs="Tahoma"/>
        </w:rPr>
        <w:t>$</w:t>
      </w:r>
      <w:r w:rsidR="00C6199A">
        <w:rPr>
          <w:rFonts w:ascii="Tahoma" w:hAnsi="Tahoma" w:cs="Tahoma"/>
        </w:rPr>
        <w:t xml:space="preserve">   </w:t>
      </w:r>
    </w:p>
    <w:p w:rsidR="001666F5" w:rsidRPr="00AD4CE9" w:rsidRDefault="0083318E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</w:t>
      </w:r>
      <w:r w:rsidR="00C6199A">
        <w:rPr>
          <w:rFonts w:ascii="Tahoma" w:hAnsi="Tahoma" w:cs="Tahoma"/>
        </w:rPr>
        <w:t>entas por Pagar</w:t>
      </w:r>
      <w:r w:rsidR="00C6199A">
        <w:rPr>
          <w:rFonts w:ascii="Tahoma" w:hAnsi="Tahoma" w:cs="Tahoma"/>
        </w:rPr>
        <w:tab/>
      </w:r>
      <w:r w:rsidR="00C6199A">
        <w:rPr>
          <w:rFonts w:ascii="Tahoma" w:hAnsi="Tahoma" w:cs="Tahoma"/>
        </w:rPr>
        <w:tab/>
      </w:r>
      <w:r w:rsidR="00C6199A">
        <w:rPr>
          <w:rFonts w:ascii="Tahoma" w:hAnsi="Tahoma" w:cs="Tahoma"/>
        </w:rPr>
        <w:tab/>
      </w:r>
      <w:r w:rsidR="00C6199A">
        <w:rPr>
          <w:rFonts w:ascii="Tahoma" w:hAnsi="Tahoma" w:cs="Tahoma"/>
        </w:rPr>
        <w:tab/>
        <w:t xml:space="preserve">   1.732.304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83318E">
        <w:rPr>
          <w:rFonts w:ascii="Tahoma" w:hAnsi="Tahoma" w:cs="Tahoma"/>
        </w:rPr>
        <w:t xml:space="preserve"> </w:t>
      </w:r>
      <w:r w:rsidR="00C6199A">
        <w:rPr>
          <w:rFonts w:ascii="Tahoma" w:hAnsi="Tahoma" w:cs="Tahoma"/>
        </w:rPr>
        <w:t xml:space="preserve">  101.496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C6199A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$1.833.800</w:t>
      </w:r>
    </w:p>
    <w:p w:rsidR="00C6199A" w:rsidRDefault="00C6199A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423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C6199A">
        <w:rPr>
          <w:rFonts w:ascii="Tahoma" w:hAnsi="Tahoma" w:cs="Tahoma"/>
        </w:rPr>
        <w:t xml:space="preserve"> Corriente  $4.113.365/ $1.833.800=2.24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8A0D90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</w:t>
      </w:r>
      <w:r w:rsidR="00310359">
        <w:rPr>
          <w:rFonts w:ascii="Tahoma" w:hAnsi="Tahoma" w:cs="Tahoma"/>
        </w:rPr>
        <w:t>min</w:t>
      </w:r>
      <w:r w:rsidR="0083318E">
        <w:rPr>
          <w:rFonts w:ascii="Tahoma" w:hAnsi="Tahoma" w:cs="Tahoma"/>
        </w:rPr>
        <w:t>is</w:t>
      </w:r>
      <w:r w:rsidR="00C6199A">
        <w:rPr>
          <w:rFonts w:ascii="Tahoma" w:hAnsi="Tahoma" w:cs="Tahoma"/>
        </w:rPr>
        <w:t>tración Municipal de Rovira</w:t>
      </w:r>
      <w:r w:rsidR="0083318E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C6199A">
        <w:rPr>
          <w:rFonts w:ascii="Tahoma" w:hAnsi="Tahoma" w:cs="Tahoma"/>
        </w:rPr>
        <w:t>2.24</w:t>
      </w:r>
      <w:r w:rsidR="008D6CE6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C6199A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$4.113.365- $1.833.800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2.279.565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C6199A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$1.833.800</w:t>
      </w:r>
      <w:r w:rsidR="00310359">
        <w:rPr>
          <w:rFonts w:ascii="Tahoma" w:hAnsi="Tahoma" w:cs="Tahoma"/>
        </w:rPr>
        <w:t>/</w:t>
      </w:r>
      <w:r>
        <w:rPr>
          <w:rFonts w:ascii="Tahoma" w:hAnsi="Tahoma" w:cs="Tahoma"/>
        </w:rPr>
        <w:t>$</w:t>
      </w:r>
      <w:r w:rsidR="00C54464">
        <w:rPr>
          <w:rFonts w:ascii="Tahoma" w:hAnsi="Tahoma" w:cs="Tahoma"/>
        </w:rPr>
        <w:t>30.958.559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 w:rsidR="00C54464">
        <w:rPr>
          <w:rFonts w:ascii="Tahoma" w:hAnsi="Tahoma" w:cs="Tahoma"/>
        </w:rPr>
        <w:t>5.92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C54464">
        <w:rPr>
          <w:rFonts w:ascii="Tahoma" w:hAnsi="Tahoma" w:cs="Tahoma"/>
        </w:rPr>
        <w:t>5.92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>$</w:t>
      </w:r>
      <w:r w:rsidR="00C54464">
        <w:rPr>
          <w:rFonts w:ascii="Tahoma" w:hAnsi="Tahoma" w:cs="Tahoma"/>
        </w:rPr>
        <w:t>18.961.070 /30.958.559</w:t>
      </w:r>
      <w:r w:rsidR="005A36ED" w:rsidRPr="00AD4CE9">
        <w:rPr>
          <w:rFonts w:ascii="Tahoma" w:hAnsi="Tahoma" w:cs="Tahoma"/>
        </w:rPr>
        <w:t xml:space="preserve"> </w:t>
      </w:r>
      <w:r w:rsidR="00C54464">
        <w:rPr>
          <w:rFonts w:ascii="Tahoma" w:hAnsi="Tahoma" w:cs="Tahoma"/>
        </w:rPr>
        <w:t>=61.24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310359">
        <w:rPr>
          <w:rFonts w:ascii="Tahoma" w:hAnsi="Tahoma" w:cs="Tahoma"/>
        </w:rPr>
        <w:t xml:space="preserve">iormente nos indica </w:t>
      </w:r>
      <w:r w:rsidR="00C54464">
        <w:rPr>
          <w:rFonts w:ascii="Tahoma" w:hAnsi="Tahoma" w:cs="Tahoma"/>
        </w:rPr>
        <w:t>que el 61.24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8D6CE6" w:rsidRPr="00AD4CE9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2443C3">
      <w:pPr>
        <w:pStyle w:val="Prrafodelista"/>
        <w:numPr>
          <w:ilvl w:val="0"/>
          <w:numId w:val="1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C54464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Rovira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>0.25% en la suma de  $77.9</w:t>
      </w:r>
      <w:r w:rsidR="008D6CE6">
        <w:rPr>
          <w:rFonts w:ascii="Tahoma" w:hAnsi="Tahoma" w:cs="Tahoma"/>
        </w:rPr>
        <w:t xml:space="preserve"> millones</w:t>
      </w:r>
      <w:r w:rsidR="00402C3D">
        <w:rPr>
          <w:rFonts w:ascii="Tahoma" w:hAnsi="Tahoma" w:cs="Tahoma"/>
        </w:rPr>
        <w:t>, con relación al periodo 2014</w:t>
      </w:r>
      <w:r>
        <w:rPr>
          <w:rFonts w:ascii="Tahoma" w:hAnsi="Tahoma" w:cs="Tahoma"/>
        </w:rPr>
        <w:t>, reflejados en la cuenta Rentas Por Cobrar</w:t>
      </w:r>
      <w:r w:rsidR="006756E8" w:rsidRPr="00AD4CE9">
        <w:rPr>
          <w:rFonts w:ascii="Tahoma" w:hAnsi="Tahoma" w:cs="Tahoma"/>
        </w:rPr>
        <w:t>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C54464" w:rsidRDefault="004622C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Su patrimonio </w:t>
      </w:r>
      <w:r w:rsidR="00C54464">
        <w:rPr>
          <w:rFonts w:ascii="Tahoma" w:hAnsi="Tahoma" w:cs="Tahoma"/>
        </w:rPr>
        <w:t>disminuyo en un 2.70</w:t>
      </w:r>
      <w:r w:rsidR="006756E8" w:rsidRPr="00AD4CE9">
        <w:rPr>
          <w:rFonts w:ascii="Tahoma" w:hAnsi="Tahoma" w:cs="Tahoma"/>
        </w:rPr>
        <w:t xml:space="preserve">%, apalancado principalmente por la cuenta </w:t>
      </w:r>
      <w:r w:rsidR="002613E4">
        <w:rPr>
          <w:rFonts w:ascii="Tahoma" w:hAnsi="Tahoma" w:cs="Tahoma"/>
        </w:rPr>
        <w:t xml:space="preserve">de Hacienda Pública, </w:t>
      </w:r>
      <w:r w:rsidR="00B74E57">
        <w:rPr>
          <w:rFonts w:ascii="Tahoma" w:hAnsi="Tahoma" w:cs="Tahoma"/>
        </w:rPr>
        <w:t xml:space="preserve"> que p</w:t>
      </w:r>
      <w:r w:rsidR="002613E4">
        <w:rPr>
          <w:rFonts w:ascii="Tahoma" w:hAnsi="Tahoma" w:cs="Tahoma"/>
        </w:rPr>
        <w:t xml:space="preserve">resenta </w:t>
      </w:r>
      <w:r w:rsidR="008D6CE6">
        <w:rPr>
          <w:rFonts w:ascii="Tahoma" w:hAnsi="Tahoma" w:cs="Tahoma"/>
        </w:rPr>
        <w:t xml:space="preserve">el mismo </w:t>
      </w:r>
      <w:r w:rsidR="00C54464">
        <w:rPr>
          <w:rFonts w:ascii="Tahoma" w:hAnsi="Tahoma" w:cs="Tahoma"/>
        </w:rPr>
        <w:t xml:space="preserve">decrecimiento </w:t>
      </w:r>
      <w:r w:rsidR="000D2062" w:rsidRPr="00AD4CE9">
        <w:rPr>
          <w:rFonts w:ascii="Tahoma" w:hAnsi="Tahoma" w:cs="Tahoma"/>
        </w:rPr>
        <w:t>por la suma de $</w:t>
      </w:r>
      <w:r w:rsidR="00C54464">
        <w:rPr>
          <w:rFonts w:ascii="Tahoma" w:hAnsi="Tahoma" w:cs="Tahoma"/>
        </w:rPr>
        <w:t>526.9</w:t>
      </w:r>
      <w:r w:rsidR="008D6CE6">
        <w:rPr>
          <w:rFonts w:ascii="Tahoma" w:hAnsi="Tahoma" w:cs="Tahoma"/>
        </w:rPr>
        <w:t xml:space="preserve"> millones</w:t>
      </w:r>
      <w:r w:rsidR="00B74E57">
        <w:rPr>
          <w:rFonts w:ascii="Tahoma" w:hAnsi="Tahoma" w:cs="Tahoma"/>
        </w:rPr>
        <w:t>.</w:t>
      </w:r>
    </w:p>
    <w:p w:rsidR="00C54464" w:rsidRPr="00AD4CE9" w:rsidRDefault="00C54464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B74E57">
        <w:rPr>
          <w:rFonts w:ascii="Tahoma" w:hAnsi="Tahoma" w:cs="Tahoma"/>
        </w:rPr>
        <w:t>, estaba representad</w:t>
      </w:r>
      <w:r w:rsidR="00C54464">
        <w:rPr>
          <w:rFonts w:ascii="Tahoma" w:hAnsi="Tahoma" w:cs="Tahoma"/>
        </w:rPr>
        <w:t>a en el 38.75</w:t>
      </w:r>
      <w:r w:rsidR="004622C7">
        <w:rPr>
          <w:rFonts w:ascii="Tahoma" w:hAnsi="Tahoma" w:cs="Tahoma"/>
        </w:rPr>
        <w:t>% los</w:t>
      </w:r>
      <w:r w:rsidR="00C54464">
        <w:rPr>
          <w:rFonts w:ascii="Tahoma" w:hAnsi="Tahoma" w:cs="Tahoma"/>
        </w:rPr>
        <w:t xml:space="preserve"> pasivos y el 61.24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2E3EC0">
        <w:rPr>
          <w:rFonts w:ascii="Tahoma" w:hAnsi="Tahoma" w:cs="Tahoma"/>
        </w:rPr>
        <w:t>5.92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</w:t>
      </w:r>
      <w:r w:rsidR="002E3EC0">
        <w:rPr>
          <w:rFonts w:ascii="Tahoma" w:hAnsi="Tahoma" w:cs="Tahoma"/>
        </w:rPr>
        <w:t>io de Rovira</w:t>
      </w:r>
      <w:r w:rsidR="00FE7F94">
        <w:rPr>
          <w:rFonts w:ascii="Tahoma" w:hAnsi="Tahoma" w:cs="Tahoma"/>
        </w:rPr>
        <w:t xml:space="preserve"> 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1D13E9">
      <w:headerReference w:type="default" r:id="rId12"/>
      <w:footerReference w:type="default" r:id="rId13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549" w:rsidRDefault="00ED0549" w:rsidP="00650A99">
      <w:r>
        <w:separator/>
      </w:r>
    </w:p>
  </w:endnote>
  <w:endnote w:type="continuationSeparator" w:id="0">
    <w:p w:rsidR="00ED0549" w:rsidRDefault="00ED0549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6DB2EA" wp14:editId="20757A2D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6A5E5A" w:rsidRPr="006A5E5A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6A5E5A" w:rsidRPr="006A5E5A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9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6DB2E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6A5E5A" w:rsidRPr="006A5E5A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6A5E5A" w:rsidRPr="006A5E5A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9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DCC88B" wp14:editId="12065F2E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DCC88B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97E23A8" wp14:editId="172AA380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6A5E5A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7E23A8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6A5E5A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549" w:rsidRDefault="00ED0549" w:rsidP="00650A99">
      <w:r>
        <w:separator/>
      </w:r>
    </w:p>
  </w:footnote>
  <w:footnote w:type="continuationSeparator" w:id="0">
    <w:p w:rsidR="00ED0549" w:rsidRDefault="00ED0549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1D13E9">
    <w:pPr>
      <w:pStyle w:val="Encabezado"/>
    </w:pPr>
    <w:r>
      <w:rPr>
        <w:noProof/>
      </w:rPr>
      <w:drawing>
        <wp:inline distT="0" distB="0" distL="0" distR="0" wp14:anchorId="07FC6C74" wp14:editId="79D9458D">
          <wp:extent cx="1571625" cy="1219200"/>
          <wp:effectExtent l="0" t="0" r="9525" b="0"/>
          <wp:docPr id="3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F9A2C8F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5BD7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66FA5"/>
    <w:rsid w:val="00070555"/>
    <w:rsid w:val="0007281C"/>
    <w:rsid w:val="00072DF8"/>
    <w:rsid w:val="00073152"/>
    <w:rsid w:val="000732A3"/>
    <w:rsid w:val="00074463"/>
    <w:rsid w:val="00074EF9"/>
    <w:rsid w:val="00080622"/>
    <w:rsid w:val="00081AAB"/>
    <w:rsid w:val="00084FFA"/>
    <w:rsid w:val="00090F81"/>
    <w:rsid w:val="000913E2"/>
    <w:rsid w:val="00092432"/>
    <w:rsid w:val="00092D3A"/>
    <w:rsid w:val="00096CAD"/>
    <w:rsid w:val="000971C2"/>
    <w:rsid w:val="000A4FDA"/>
    <w:rsid w:val="000A5A8D"/>
    <w:rsid w:val="000A5F72"/>
    <w:rsid w:val="000B18CD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00"/>
    <w:rsid w:val="000F17B4"/>
    <w:rsid w:val="000F4FA1"/>
    <w:rsid w:val="001077DC"/>
    <w:rsid w:val="00110EA7"/>
    <w:rsid w:val="00115E29"/>
    <w:rsid w:val="00124F58"/>
    <w:rsid w:val="001301DF"/>
    <w:rsid w:val="00131C6D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17F8"/>
    <w:rsid w:val="00163663"/>
    <w:rsid w:val="001666F5"/>
    <w:rsid w:val="00171674"/>
    <w:rsid w:val="0017250D"/>
    <w:rsid w:val="001A5473"/>
    <w:rsid w:val="001B4378"/>
    <w:rsid w:val="001B7E9B"/>
    <w:rsid w:val="001D13E9"/>
    <w:rsid w:val="001D26AE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17490"/>
    <w:rsid w:val="00224140"/>
    <w:rsid w:val="00226503"/>
    <w:rsid w:val="002443C3"/>
    <w:rsid w:val="002467D6"/>
    <w:rsid w:val="00250B2A"/>
    <w:rsid w:val="00254A87"/>
    <w:rsid w:val="002608D4"/>
    <w:rsid w:val="002613E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C24CB"/>
    <w:rsid w:val="002C31ED"/>
    <w:rsid w:val="002D03DF"/>
    <w:rsid w:val="002D3A88"/>
    <w:rsid w:val="002D51B5"/>
    <w:rsid w:val="002D62AF"/>
    <w:rsid w:val="002D6719"/>
    <w:rsid w:val="002E1436"/>
    <w:rsid w:val="002E3EC0"/>
    <w:rsid w:val="002E7240"/>
    <w:rsid w:val="002F54E8"/>
    <w:rsid w:val="003026A2"/>
    <w:rsid w:val="00303824"/>
    <w:rsid w:val="00306CC6"/>
    <w:rsid w:val="00310359"/>
    <w:rsid w:val="003108E9"/>
    <w:rsid w:val="00313CA5"/>
    <w:rsid w:val="003205FF"/>
    <w:rsid w:val="00321B22"/>
    <w:rsid w:val="00321EC8"/>
    <w:rsid w:val="003242F1"/>
    <w:rsid w:val="00325332"/>
    <w:rsid w:val="003305B2"/>
    <w:rsid w:val="00332DE4"/>
    <w:rsid w:val="00334968"/>
    <w:rsid w:val="00341B3E"/>
    <w:rsid w:val="00351487"/>
    <w:rsid w:val="00356B3F"/>
    <w:rsid w:val="003578AE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E2908"/>
    <w:rsid w:val="003E5E8B"/>
    <w:rsid w:val="003F5E08"/>
    <w:rsid w:val="00402C3D"/>
    <w:rsid w:val="004032C1"/>
    <w:rsid w:val="00407637"/>
    <w:rsid w:val="004120E2"/>
    <w:rsid w:val="00423359"/>
    <w:rsid w:val="00426FB0"/>
    <w:rsid w:val="00430D77"/>
    <w:rsid w:val="00440EAB"/>
    <w:rsid w:val="00452E65"/>
    <w:rsid w:val="00454B8B"/>
    <w:rsid w:val="00461871"/>
    <w:rsid w:val="004622C7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A31AA"/>
    <w:rsid w:val="004B3739"/>
    <w:rsid w:val="004C10FE"/>
    <w:rsid w:val="004C250E"/>
    <w:rsid w:val="004C27B6"/>
    <w:rsid w:val="004C2EA2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5CBC"/>
    <w:rsid w:val="00617A76"/>
    <w:rsid w:val="00617E98"/>
    <w:rsid w:val="0062226C"/>
    <w:rsid w:val="00630301"/>
    <w:rsid w:val="006432CC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E5A"/>
    <w:rsid w:val="006A5FCB"/>
    <w:rsid w:val="006B765E"/>
    <w:rsid w:val="006B7F90"/>
    <w:rsid w:val="006C051C"/>
    <w:rsid w:val="006D20E4"/>
    <w:rsid w:val="006D2B4A"/>
    <w:rsid w:val="00700DB0"/>
    <w:rsid w:val="0070120A"/>
    <w:rsid w:val="007062D9"/>
    <w:rsid w:val="00706545"/>
    <w:rsid w:val="00715B59"/>
    <w:rsid w:val="00736007"/>
    <w:rsid w:val="00741A06"/>
    <w:rsid w:val="00745063"/>
    <w:rsid w:val="00747180"/>
    <w:rsid w:val="00754337"/>
    <w:rsid w:val="00764ABD"/>
    <w:rsid w:val="00770276"/>
    <w:rsid w:val="00770ADC"/>
    <w:rsid w:val="00771928"/>
    <w:rsid w:val="00773282"/>
    <w:rsid w:val="00796DDA"/>
    <w:rsid w:val="007B4882"/>
    <w:rsid w:val="007B70F7"/>
    <w:rsid w:val="007C4270"/>
    <w:rsid w:val="007D5C4B"/>
    <w:rsid w:val="007D6052"/>
    <w:rsid w:val="007F7C04"/>
    <w:rsid w:val="00800EEF"/>
    <w:rsid w:val="008036D7"/>
    <w:rsid w:val="0081311A"/>
    <w:rsid w:val="0081495F"/>
    <w:rsid w:val="00814D3D"/>
    <w:rsid w:val="00815D0B"/>
    <w:rsid w:val="00820529"/>
    <w:rsid w:val="00821EDD"/>
    <w:rsid w:val="00827082"/>
    <w:rsid w:val="00832014"/>
    <w:rsid w:val="008326D2"/>
    <w:rsid w:val="0083318E"/>
    <w:rsid w:val="00841203"/>
    <w:rsid w:val="00847EEE"/>
    <w:rsid w:val="00862966"/>
    <w:rsid w:val="00872CA8"/>
    <w:rsid w:val="008761A0"/>
    <w:rsid w:val="00897455"/>
    <w:rsid w:val="008A0D33"/>
    <w:rsid w:val="008A0D90"/>
    <w:rsid w:val="008A1B70"/>
    <w:rsid w:val="008A5D7F"/>
    <w:rsid w:val="008D6CE6"/>
    <w:rsid w:val="008E2ADB"/>
    <w:rsid w:val="008E40B7"/>
    <w:rsid w:val="008E6775"/>
    <w:rsid w:val="008F6815"/>
    <w:rsid w:val="009058D0"/>
    <w:rsid w:val="00906002"/>
    <w:rsid w:val="00907660"/>
    <w:rsid w:val="00914565"/>
    <w:rsid w:val="009209C9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57C10"/>
    <w:rsid w:val="009606B3"/>
    <w:rsid w:val="00966EAD"/>
    <w:rsid w:val="00974E10"/>
    <w:rsid w:val="0098778A"/>
    <w:rsid w:val="00990B51"/>
    <w:rsid w:val="00991F22"/>
    <w:rsid w:val="009961BF"/>
    <w:rsid w:val="009C0615"/>
    <w:rsid w:val="009D7ECE"/>
    <w:rsid w:val="009E01E8"/>
    <w:rsid w:val="009E3411"/>
    <w:rsid w:val="009F0EF0"/>
    <w:rsid w:val="009F3F48"/>
    <w:rsid w:val="00A03D09"/>
    <w:rsid w:val="00A04FA7"/>
    <w:rsid w:val="00A22045"/>
    <w:rsid w:val="00A32BD8"/>
    <w:rsid w:val="00A34FD5"/>
    <w:rsid w:val="00A43B37"/>
    <w:rsid w:val="00A44F64"/>
    <w:rsid w:val="00A47CA0"/>
    <w:rsid w:val="00A57CC2"/>
    <w:rsid w:val="00A642C7"/>
    <w:rsid w:val="00A65971"/>
    <w:rsid w:val="00A742F1"/>
    <w:rsid w:val="00A7456E"/>
    <w:rsid w:val="00A7495A"/>
    <w:rsid w:val="00A839F4"/>
    <w:rsid w:val="00A84657"/>
    <w:rsid w:val="00A846EB"/>
    <w:rsid w:val="00A85837"/>
    <w:rsid w:val="00A926CE"/>
    <w:rsid w:val="00A9371D"/>
    <w:rsid w:val="00AA22C9"/>
    <w:rsid w:val="00AA75DD"/>
    <w:rsid w:val="00AB37B1"/>
    <w:rsid w:val="00AC1D93"/>
    <w:rsid w:val="00AC2B0C"/>
    <w:rsid w:val="00AC6DD0"/>
    <w:rsid w:val="00AD4CE9"/>
    <w:rsid w:val="00AD56DB"/>
    <w:rsid w:val="00AE45E6"/>
    <w:rsid w:val="00AE7455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4CA8"/>
    <w:rsid w:val="00B258AA"/>
    <w:rsid w:val="00B34497"/>
    <w:rsid w:val="00B430BE"/>
    <w:rsid w:val="00B5291B"/>
    <w:rsid w:val="00B57255"/>
    <w:rsid w:val="00B63579"/>
    <w:rsid w:val="00B6483D"/>
    <w:rsid w:val="00B648B1"/>
    <w:rsid w:val="00B65897"/>
    <w:rsid w:val="00B66376"/>
    <w:rsid w:val="00B7024B"/>
    <w:rsid w:val="00B74E57"/>
    <w:rsid w:val="00B74F06"/>
    <w:rsid w:val="00B766AB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6DAC"/>
    <w:rsid w:val="00C276A2"/>
    <w:rsid w:val="00C334D1"/>
    <w:rsid w:val="00C35423"/>
    <w:rsid w:val="00C35A0C"/>
    <w:rsid w:val="00C36BE7"/>
    <w:rsid w:val="00C404DC"/>
    <w:rsid w:val="00C43064"/>
    <w:rsid w:val="00C54464"/>
    <w:rsid w:val="00C54674"/>
    <w:rsid w:val="00C6199A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E781F"/>
    <w:rsid w:val="00CF0493"/>
    <w:rsid w:val="00CF6745"/>
    <w:rsid w:val="00D338CD"/>
    <w:rsid w:val="00D42439"/>
    <w:rsid w:val="00D70440"/>
    <w:rsid w:val="00D718F8"/>
    <w:rsid w:val="00D71C09"/>
    <w:rsid w:val="00D774B6"/>
    <w:rsid w:val="00D81436"/>
    <w:rsid w:val="00D85DD3"/>
    <w:rsid w:val="00D9131A"/>
    <w:rsid w:val="00DA07E0"/>
    <w:rsid w:val="00DA76D0"/>
    <w:rsid w:val="00DB2278"/>
    <w:rsid w:val="00DB5E63"/>
    <w:rsid w:val="00DC4D50"/>
    <w:rsid w:val="00DD0981"/>
    <w:rsid w:val="00DD5CA9"/>
    <w:rsid w:val="00DF4B34"/>
    <w:rsid w:val="00E00EAB"/>
    <w:rsid w:val="00E06024"/>
    <w:rsid w:val="00E16EF6"/>
    <w:rsid w:val="00E27185"/>
    <w:rsid w:val="00E35BA6"/>
    <w:rsid w:val="00E37DA4"/>
    <w:rsid w:val="00E438FA"/>
    <w:rsid w:val="00E44E11"/>
    <w:rsid w:val="00E562E9"/>
    <w:rsid w:val="00E745B9"/>
    <w:rsid w:val="00E77764"/>
    <w:rsid w:val="00E80CF1"/>
    <w:rsid w:val="00EC5776"/>
    <w:rsid w:val="00ED0549"/>
    <w:rsid w:val="00ED18CB"/>
    <w:rsid w:val="00F067EF"/>
    <w:rsid w:val="00F11CE8"/>
    <w:rsid w:val="00F152E9"/>
    <w:rsid w:val="00F161D1"/>
    <w:rsid w:val="00F413A2"/>
    <w:rsid w:val="00F56475"/>
    <w:rsid w:val="00F57D5F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E754B"/>
    <w:rsid w:val="00FE7F9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1AE06563-6CEA-438E-96D9-8F58E7DA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Rovira\Cuadro%20Comparativo.xls" TargetMode="External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s-CO" sz="1400">
                <a:solidFill>
                  <a:schemeClr val="bg1"/>
                </a:solidFill>
              </a:rPr>
              <a:t>Estado de Actividad</a:t>
            </a:r>
            <a:r>
              <a:rPr lang="es-CO" sz="1400" baseline="0">
                <a:solidFill>
                  <a:schemeClr val="bg1"/>
                </a:solidFill>
              </a:rPr>
              <a:t> Financiera, Economica, Social y Ambiental </a:t>
            </a:r>
            <a:r>
              <a:rPr lang="es-CO" sz="1400" b="0" baseline="0">
                <a:solidFill>
                  <a:schemeClr val="bg1"/>
                </a:solidFill>
              </a:rPr>
              <a:t>(miles de pesos)</a:t>
            </a:r>
            <a:endParaRPr lang="es-CO" sz="1400" b="0">
              <a:solidFill>
                <a:schemeClr val="bg1"/>
              </a:solidFill>
            </a:endParaRPr>
          </a:p>
        </c:rich>
      </c:tx>
      <c:layout/>
      <c:overlay val="0"/>
    </c:title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Graficas!$A$22</c:f>
              <c:strCache>
                <c:ptCount val="1"/>
                <c:pt idx="0">
                  <c:v>INGRESOS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28995062675619554"/>
                </c:manualLayout>
              </c:layout>
              <c:spPr/>
              <c:txPr>
                <a:bodyPr rot="-5400000" vert="horz"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0.28116424412721991"/>
                </c:manualLayout>
              </c:layout>
              <c:spPr/>
              <c:txPr>
                <a:bodyPr rot="-5400000" vert="horz"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Graficas!$B$23:$C$23</c:f>
              <c:numCache>
                <c:formatCode>0</c:formatCode>
                <c:ptCount val="2"/>
                <c:pt idx="0">
                  <c:v>23480331</c:v>
                </c:pt>
                <c:pt idx="1">
                  <c:v>20851896</c:v>
                </c:pt>
              </c:numCache>
            </c:numRef>
          </c:val>
        </c:ser>
        <c:ser>
          <c:idx val="1"/>
          <c:order val="1"/>
          <c:tx>
            <c:strRef>
              <c:f>Graficas!$A$23</c:f>
              <c:strCache>
                <c:ptCount val="1"/>
                <c:pt idx="0">
                  <c:v>GASTOS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4444444444444495E-2"/>
                  <c:y val="-4.15368639667705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444444444444444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Graficas!#¡REF!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485055568"/>
        <c:axId val="-1485050672"/>
        <c:axId val="-1485086048"/>
      </c:bar3DChart>
      <c:catAx>
        <c:axId val="-1485055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solidFill>
                  <a:schemeClr val="bg1"/>
                </a:solidFill>
              </a:defRPr>
            </a:pPr>
            <a:endParaRPr lang="es-CO"/>
          </a:p>
        </c:txPr>
        <c:crossAx val="-1485050672"/>
        <c:crosses val="autoZero"/>
        <c:auto val="1"/>
        <c:lblAlgn val="ctr"/>
        <c:lblOffset val="100"/>
        <c:noMultiLvlLbl val="0"/>
      </c:catAx>
      <c:valAx>
        <c:axId val="-1485050672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solidFill>
                  <a:schemeClr val="bg1"/>
                </a:solidFill>
              </a:defRPr>
            </a:pPr>
            <a:endParaRPr lang="es-CO"/>
          </a:p>
        </c:txPr>
        <c:crossAx val="-1485055568"/>
        <c:crosses val="autoZero"/>
        <c:crossBetween val="between"/>
      </c:valAx>
      <c:serAx>
        <c:axId val="-1485086048"/>
        <c:scaling>
          <c:orientation val="minMax"/>
        </c:scaling>
        <c:delete val="1"/>
        <c:axPos val="b"/>
        <c:majorTickMark val="out"/>
        <c:minorTickMark val="none"/>
        <c:tickLblPos val="nextTo"/>
        <c:crossAx val="-1485050672"/>
        <c:crosses val="autoZero"/>
      </c:serAx>
      <c:spPr>
        <a:noFill/>
        <a:ln w="25400">
          <a:noFill/>
        </a:ln>
      </c:spPr>
    </c:plotArea>
    <c:legend>
      <c:legendPos val="r"/>
      <c:layout/>
      <c:overlay val="0"/>
      <c:spPr>
        <a:noFill/>
      </c:spPr>
      <c:txPr>
        <a:bodyPr/>
        <a:lstStyle/>
        <a:p>
          <a:pPr>
            <a:defRPr b="1">
              <a:solidFill>
                <a:schemeClr val="bg1"/>
              </a:solidFill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8BAA7-F356-4A25-AAB0-4361D8C3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9</Pages>
  <Words>1774</Words>
  <Characters>9759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34</cp:revision>
  <cp:lastPrinted>2016-12-25T22:04:00Z</cp:lastPrinted>
  <dcterms:created xsi:type="dcterms:W3CDTF">2015-09-24T21:09:00Z</dcterms:created>
  <dcterms:modified xsi:type="dcterms:W3CDTF">2016-12-25T22:04:00Z</dcterms:modified>
</cp:coreProperties>
</file>